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1E4BC">
      <w:pPr>
        <w:rPr>
          <w:rFonts w:ascii="微软雅黑" w:hAnsi="微软雅黑" w:eastAsia="微软雅黑"/>
          <w:b/>
          <w:sz w:val="36"/>
        </w:rPr>
      </w:pPr>
    </w:p>
    <w:p w14:paraId="069ED8CA">
      <w:pPr>
        <w:widowControl/>
        <w:jc w:val="center"/>
        <w:rPr>
          <w:rFonts w:hint="eastAsia" w:ascii="华康黑体W3(P)" w:hAnsi="华康黑体W3(P)" w:eastAsia="华康黑体W3(P)" w:cs="华康黑体W3(P)"/>
          <w:b/>
          <w:sz w:val="52"/>
          <w:szCs w:val="52"/>
        </w:rPr>
        <w:spacing/>
      </w:pPr>
      <w:r>
        <w:rPr>
          <w:rFonts w:ascii="Times New Roman" w:hAnsi="Times New Roman" w:eastAsia="Times New Roman" w:cs="Times New Roman"/>
          <w:b/>
          <w:sz w:val="52"/>
          <w:szCs w:val="52"/>
          <w:lang w:val="en-US" w:eastAsia="zh-CN"/>
        </w:rPr>
        <w:t xml:space="preserve">2G+4G charging type GPS tracker for vehicles</w:t>
      </w:r>
    </w:p>
    <w:p w14:paraId="0976418E">
      <w:pPr>
        <w:widowControl/>
        <w:jc w:val="center"/>
        <w:rPr>
          <w:rFonts w:hint="eastAsia" w:ascii="华康黑体W3(P)" w:hAnsi="华康黑体W3(P)" w:eastAsia="华康黑体W3(P)" w:cs="华康黑体W3(P)"/>
          <w:szCs w:val="21"/>
        </w:rPr>
        <w:spacing/>
      </w:pPr>
      <w:r>
        <w:rPr>
          <w:rFonts w:hint="eastAsia" w:ascii="华康黑体W3(P)" w:hAnsi="华康黑体W3(P)" w:eastAsia="华康黑体W3(P)" w:cs="华康黑体W3(P)"/>
          <w:sz w:val="52"/>
          <w:szCs w:val="52"/>
        </w:rPr>
        <mc:AlternateContent>
          <mc:Choice Requires="wps">
            <w:drawing>
              <wp:anchor distT="0" distB="0" distL="114300" distR="114300" simplePos="0" relativeHeight="251659264" behindDoc="0" locked="0" layoutInCell="1" allowOverlap="1">
                <wp:simplePos x="0" y="0"/>
                <wp:positionH relativeFrom="column">
                  <wp:posOffset>1194435</wp:posOffset>
                </wp:positionH>
                <wp:positionV relativeFrom="paragraph">
                  <wp:posOffset>520700</wp:posOffset>
                </wp:positionV>
                <wp:extent cx="2918460" cy="461010"/>
                <wp:effectExtent l="4445" t="4445" r="10795" b="10795"/>
                <wp:wrapNone/>
                <wp:docPr id="3" name="矩形 2"/>
                <wp:cNvGraphicFramePr/>
                <a:graphic xmlns:a="http://schemas.openxmlformats.org/drawingml/2006/main">
                  <a:graphicData uri="http://schemas.microsoft.com/office/word/2010/wordprocessingShape">
                    <wps:wsp>
                      <wps:cNvSpPr/>
                      <wps:spPr>
                        <a:xfrm>
                          <a:off x="0" y="0"/>
                          <a:ext cx="2918460" cy="4610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6F6C5E">
                            <w:pPr>
                              <w:jc w:val="center"/>
                              <w:rPr>
                                <w:rFonts w:hint="eastAsia" w:ascii="华康黑体W3(P)" w:hAnsi="华康黑体W3(P)" w:eastAsia="华康黑体W3(P)" w:cs="华康黑体W3(P)"/>
                                <w:b/>
                                <w:sz w:val="44"/>
                              </w:rPr>
                              <w:spacing/>
                            </w:pPr>
                            <w:r>
                              <w:rPr>
                                <w:rFonts w:ascii="Times New Roman" w:hAnsi="Times New Roman" w:eastAsia="Times New Roman" w:cs="Times New Roman"/>
                                <w:b/>
                                <w:sz w:val="44"/>
                              </w:rPr>
                              <w:t xml:space="preserve">Product User Manual</w:t>
                            </w:r>
                          </w:p>
                          <w:p w14:paraId="0236C89D">
                            <w:pPr>
                              <w:jc w:val="center"/>
                              <w:rPr>
                                <w:b/>
                                <w:sz w:val="44"/>
                              </w:rPr>
                            </w:pPr>
                          </w:p>
                          <w:p w14:paraId="68EC1A63">
                            <w:pPr>
                              <w:jc w:val="center"/>
                              <w:rPr>
                                <w:b/>
                                <w:sz w:val="44"/>
                              </w:rPr>
                            </w:pPr>
                          </w:p>
                          <w:p w14:paraId="611CB30E">
                            <w:pPr>
                              <w:jc w:val="center"/>
                              <w:rPr>
                                <w:b/>
                                <w:sz w:val="44"/>
                              </w:rPr>
                            </w:pPr>
                          </w:p>
                          <w:p w14:paraId="5E061F05">
                            <w:pPr>
                              <w:jc w:val="center"/>
                              <w:rPr>
                                <w:b/>
                                <w:sz w:val="44"/>
                              </w:rPr>
                            </w:pPr>
                          </w:p>
                          <w:p w14:paraId="74E8E357">
                            <w:pPr>
                              <w:jc w:val="center"/>
                              <w:rPr>
                                <w:b/>
                                <w:sz w:val="44"/>
                              </w:rPr>
                            </w:pPr>
                          </w:p>
                          <w:p w14:paraId="0ABF0C1F">
                            <w:pPr>
                              <w:jc w:val="center"/>
                              <w:rPr>
                                <w:b/>
                                <w:sz w:val="44"/>
                              </w:rPr>
                            </w:pPr>
                          </w:p>
                          <w:p w14:paraId="306F980B">
                            <w:pPr>
                              <w:jc w:val="center"/>
                              <w:rPr>
                                <w:b/>
                                <w:sz w:val="44"/>
                              </w:rPr>
                            </w:pPr>
                          </w:p>
                          <w:p w14:paraId="2E120C4F">
                            <w:pPr>
                              <w:jc w:val="center"/>
                              <w:rPr>
                                <w:b/>
                                <w:sz w:val="44"/>
                              </w:rPr>
                            </w:pPr>
                          </w:p>
                          <w:p w14:paraId="293DB289">
                            <w:pPr>
                              <w:jc w:val="center"/>
                              <w:rPr>
                                <w:b/>
                                <w:sz w:val="44"/>
                              </w:rPr>
                            </w:pPr>
                          </w:p>
                          <w:p w14:paraId="1509A903">
                            <w:pPr>
                              <w:jc w:val="center"/>
                              <w:rPr>
                                <w:b/>
                                <w:sz w:val="44"/>
                              </w:rPr>
                            </w:pPr>
                          </w:p>
                          <w:p w14:paraId="105885F0">
                            <w:pPr>
                              <w:jc w:val="center"/>
                              <w:rPr>
                                <w:b/>
                                <w:sz w:val="44"/>
                              </w:rPr>
                            </w:pPr>
                          </w:p>
                        </w:txbxContent>
                      </wps:txbx>
                      <wps:bodyPr upright="1"/>
                    </wps:wsp>
                  </a:graphicData>
                </a:graphic>
              </wp:anchor>
            </w:drawing>
          </mc:Choice>
          <mc:Fallback>
            <w:pict>
              <v:rect id="矩形 2" o:spid="_x0000_s1026" o:spt="1" style="position:absolute;left:0pt;margin-left:94.05pt;margin-top:41pt;height:36.3pt;width:229.8pt;z-index:251659264;mso-width-relative:page;mso-height-relative:page;" fillcolor="#FFFFFF" filled="t" stroked="t" coordsize="21600,21600" o:gfxdata="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4YbRrXAAAACgEAAA8AAAAAAAAAAQAgAAAAIgAAAGRycy9kb3du&#10;cmV2LnhtbFBLAQIUABQAAAAIAIdO4kBC2I8GAAIAACkEAAAOAAAAAAAAAAEAIAAAACYBAABkcnMv&#10;ZTJvRG9jLnhtbFBLBQYAAAAABgAGAFkBAACYBQAAAAA=&#10;">
                <v:fill on="t" focussize="0,0"/>
                <v:stroke color="#000000" joinstyle="miter"/>
                <v:imagedata o:title=""/>
                <o:lock v:ext="edit" aspectratio="f"/>
                <v:textbox>
                  <w:txbxContent>
                    <w:p w14:paraId="7A6F6C5E">
                      <w:pPr>
                        <w:jc w:val="center"/>
                        <w:rPr>
                          <w:rFonts w:hint="eastAsia" w:ascii="华康黑体W3(P)" w:hAnsi="华康黑体W3(P)" w:eastAsia="华康黑体W3(P)" w:cs="华康黑体W3(P)"/>
                          <w:b/>
                          <w:sz w:val="44"/>
                        </w:rPr>
                      </w:pPr>
                      <w:r>
                        <w:rPr>
                          <w:rFonts w:ascii="Times New Roman" w:hAnsi="Times New Roman" w:eastAsia="Times New Roman" w:cs="Times New Roman"/>
                          <w:b/>
                          <w:sz w:val="44"/>
                        </w:rPr>
                        <w:t>产品使用说明书</w:t>
                      </w:r>
                    </w:p>
                    <w:p w14:paraId="0236C89D">
                      <w:pPr>
                        <w:jc w:val="center"/>
                        <w:rPr>
                          <w:b/>
                          <w:sz w:val="44"/>
                        </w:rPr>
                      </w:pPr>
                    </w:p>
                    <w:p w14:paraId="68EC1A63">
                      <w:pPr>
                        <w:jc w:val="center"/>
                        <w:rPr>
                          <w:b/>
                          <w:sz w:val="44"/>
                        </w:rPr>
                      </w:pPr>
                    </w:p>
                    <w:p w14:paraId="611CB30E">
                      <w:pPr>
                        <w:jc w:val="center"/>
                        <w:rPr>
                          <w:b/>
                          <w:sz w:val="44"/>
                        </w:rPr>
                      </w:pPr>
                    </w:p>
                    <w:p w14:paraId="5E061F05">
                      <w:pPr>
                        <w:jc w:val="center"/>
                        <w:rPr>
                          <w:b/>
                          <w:sz w:val="44"/>
                        </w:rPr>
                      </w:pPr>
                    </w:p>
                    <w:p w14:paraId="74E8E357">
                      <w:pPr>
                        <w:jc w:val="center"/>
                        <w:rPr>
                          <w:b/>
                          <w:sz w:val="44"/>
                        </w:rPr>
                      </w:pPr>
                    </w:p>
                    <w:p w14:paraId="0ABF0C1F">
                      <w:pPr>
                        <w:jc w:val="center"/>
                        <w:rPr>
                          <w:b/>
                          <w:sz w:val="44"/>
                        </w:rPr>
                      </w:pPr>
                    </w:p>
                    <w:p w14:paraId="306F980B">
                      <w:pPr>
                        <w:jc w:val="center"/>
                        <w:rPr>
                          <w:b/>
                          <w:sz w:val="44"/>
                        </w:rPr>
                      </w:pPr>
                    </w:p>
                    <w:p w14:paraId="2E120C4F">
                      <w:pPr>
                        <w:jc w:val="center"/>
                        <w:rPr>
                          <w:b/>
                          <w:sz w:val="44"/>
                        </w:rPr>
                      </w:pPr>
                    </w:p>
                    <w:p w14:paraId="293DB289">
                      <w:pPr>
                        <w:jc w:val="center"/>
                        <w:rPr>
                          <w:b/>
                          <w:sz w:val="44"/>
                        </w:rPr>
                      </w:pPr>
                    </w:p>
                    <w:p w14:paraId="1509A903">
                      <w:pPr>
                        <w:jc w:val="center"/>
                        <w:rPr>
                          <w:b/>
                          <w:sz w:val="44"/>
                        </w:rPr>
                      </w:pPr>
                    </w:p>
                    <w:p w14:paraId="105885F0">
                      <w:pPr>
                        <w:jc w:val="center"/>
                        <w:rPr>
                          <w:b/>
                          <w:sz w:val="44"/>
                        </w:rPr>
                      </w:pPr>
                    </w:p>
                  </w:txbxContent>
                </v:textbox>
              </v:rect>
            </w:pict>
          </mc:Fallback>
        </mc:AlternateContent>
      </w:r>
    </w:p>
    <w:p w14:paraId="6F2F94C4">
      <w:pPr>
        <w:rPr>
          <w:rFonts w:hint="eastAsia" w:ascii="华康黑体W3(P)" w:hAnsi="华康黑体W3(P)" w:eastAsia="华康黑体W3(P)" w:cs="华康黑体W3(P)"/>
          <w:szCs w:val="21"/>
        </w:rPr>
      </w:pPr>
    </w:p>
    <w:p w14:paraId="353DCEEC">
      <w:pPr>
        <w:rPr>
          <w:rFonts w:hint="eastAsia" w:ascii="华康黑体W3(P)" w:hAnsi="华康黑体W3(P)" w:eastAsia="华康黑体W3(P)" w:cs="华康黑体W3(P)"/>
          <w:szCs w:val="21"/>
        </w:rPr>
      </w:pPr>
    </w:p>
    <w:p w14:paraId="38A1DA17">
      <w:pPr>
        <w:rPr>
          <w:rFonts w:hint="eastAsia" w:ascii="华康黑体W3(P)" w:hAnsi="华康黑体W3(P)" w:eastAsia="华康黑体W3(P)" w:cs="华康黑体W3(P)"/>
          <w:szCs w:val="21"/>
        </w:rPr>
      </w:pPr>
    </w:p>
    <w:p w14:paraId="6014A1DE">
      <w:pPr>
        <w:widowControl/>
        <w:jc w:val="center"/>
        <w:rPr>
          <w:rFonts w:hint="eastAsia" w:ascii="华康黑体W3(P)" w:hAnsi="华康黑体W3(P)" w:eastAsia="华康黑体W3(P)" w:cs="华康黑体W3(P)"/>
          <w:szCs w:val="21"/>
        </w:rPr>
      </w:pPr>
    </w:p>
    <w:p w14:paraId="0793D1DB">
      <w:pPr>
        <w:widowControl/>
        <w:tabs>
          <w:tab w:val="left" w:pos="6912"/>
        </w:tabs>
        <w:jc w:val="left"/>
        <w:rPr>
          <w:rFonts w:hint="eastAsia" w:ascii="华康黑体W3(P)" w:hAnsi="华康黑体W3(P)" w:eastAsia="华康黑体W3(P)" w:cs="华康黑体W3(P)"/>
          <w:szCs w:val="21"/>
        </w:rPr>
        <w:spacing/>
      </w:pPr>
      <w:r>
        <w:rPr>
          <w:rFonts w:hint="eastAsia" w:ascii="华康黑体W3(P)" w:hAnsi="华康黑体W3(P)" w:eastAsia="华康黑体W3(P)" w:cs="华康黑体W3(P)"/>
          <w:szCs w:val="21"/>
        </w:rPr>
        <w:tab/>
      </w:r>
    </w:p>
    <w:p w14:paraId="3D537A20">
      <w:pPr>
        <w:widowControl/>
        <w:tabs>
          <w:tab w:val="left" w:pos="6912"/>
        </w:tabs>
        <w:jc w:val="left"/>
        <w:rPr>
          <w:rFonts w:hint="eastAsia" w:ascii="华康黑体W3(P)" w:hAnsi="华康黑体W3(P)" w:eastAsia="华康黑体W3(P)" w:cs="华康黑体W3(P)"/>
          <w:szCs w:val="21"/>
        </w:rPr>
      </w:pPr>
    </w:p>
    <w:p w14:paraId="63F444D1">
      <w:pPr>
        <w:widowControl/>
        <w:tabs>
          <w:tab w:val="left" w:pos="6912"/>
        </w:tabs>
        <w:jc w:val="left"/>
        <w:rPr>
          <w:rFonts w:hint="eastAsia" w:ascii="华康黑体W3(P)" w:hAnsi="华康黑体W3(P)" w:eastAsia="华康黑体W3(P)" w:cs="华康黑体W3(P)"/>
          <w:szCs w:val="21"/>
        </w:rPr>
      </w:pPr>
    </w:p>
    <w:p w14:paraId="4E303135">
      <w:pPr>
        <w:widowControl/>
        <w:ind w:firstLine="1782" w:firstLineChars="495"/>
        <w:jc w:val="left"/>
        <w:rPr>
          <w:rFonts w:hint="eastAsia" w:ascii="华康黑体W3(P)" w:hAnsi="华康黑体W3(P)" w:eastAsia="华康黑体W3(P)" w:cs="华康黑体W3(P)"/>
          <w:sz w:val="36"/>
          <w:szCs w:val="36"/>
          <w:u w:val="single"/>
        </w:rPr>
        <w:spacing/>
      </w:pPr>
      <w:r>
        <w:rPr>
          <w:rFonts w:ascii="Times New Roman" w:hAnsi="Times New Roman" w:eastAsia="Times New Roman" w:cs="Times New Roman"/>
          <w:sz w:val="36"/>
          <w:szCs w:val="36"/>
        </w:rPr>
        <w:t xml:space="preserve">Product model: (W07A/B/C/D)</w:t>
      </w:r>
    </w:p>
    <w:p w14:paraId="6D781C4A">
      <w:pPr>
        <w:widowControl/>
        <w:jc w:val="left"/>
        <w:rPr>
          <w:rFonts w:hint="eastAsia" w:ascii="华康黑体W3(P)" w:hAnsi="华康黑体W3(P)" w:eastAsia="华康黑体W3(P)" w:cs="华康黑体W3(P)"/>
          <w:sz w:val="36"/>
          <w:szCs w:val="36"/>
          <w:u w:val="none"/>
          <w:lang w:eastAsia="zh-CN"/>
        </w:rPr>
        <w:spacing/>
      </w:pPr>
      <w:r>
        <w:rPr>
          <w:rFonts w:hint="eastAsia" w:ascii="华康黑体W3(P)" w:hAnsi="华康黑体W3(P)" w:eastAsia="华康黑体W3(P)" w:cs="华康黑体W3(P)"/>
          <w:sz w:val="36"/>
          <w:szCs w:val="36"/>
          <w:u w:val="single"/>
          <w:lang w:eastAsia="zh-CN"/>
        </w:rPr>
        <w:drawing>
          <wp:inline distT="0" distB="0" distL="114300" distR="114300">
            <wp:extent cx="5278120" cy="2377440"/>
            <wp:effectExtent l="0" t="0" r="17780" b="3810"/>
            <wp:docPr id="4" name="图片 4" descr="W07-W08带SOS按键外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07-W08带SOS按键外壳"/>
                    <pic:cNvPicPr>
                      <a:picLocks noChangeAspect="1"/>
                    </pic:cNvPicPr>
                  </pic:nvPicPr>
                  <pic:blipFill>
                    <a:blip r:embed="rId6"/>
                    <a:stretch>
                      <a:fillRect/>
                    </a:stretch>
                  </pic:blipFill>
                  <pic:spPr>
                    <a:xfrm>
                      <a:off x="0" y="0"/>
                      <a:ext cx="5278120" cy="2377440"/>
                    </a:xfrm>
                    <a:prstGeom prst="rect">
                      <a:avLst/>
                    </a:prstGeom>
                  </pic:spPr>
                </pic:pic>
              </a:graphicData>
            </a:graphic>
          </wp:inline>
        </w:drawing>
      </w:r>
    </w:p>
    <w:p w14:paraId="55E5AAA7">
      <w:pPr>
        <w:widowControl/>
        <w:jc w:val="left"/>
        <w:rPr>
          <w:rFonts w:hint="eastAsia" w:ascii="华康黑体W3(P)" w:hAnsi="华康黑体W3(P)" w:eastAsia="华康黑体W3(P)" w:cs="华康黑体W3(P)"/>
          <w:sz w:val="36"/>
          <w:szCs w:val="36"/>
          <w:u w:val="none"/>
          <w:lang w:eastAsia="zh-CN"/>
        </w:rPr>
      </w:pPr>
    </w:p>
    <w:p w14:paraId="24869243">
      <w:pPr>
        <w:widowControl/>
        <w:jc w:val="left"/>
        <w:rPr>
          <w:rFonts w:hint="eastAsia" w:ascii="华康黑体W3(P)" w:hAnsi="华康黑体W3(P)" w:eastAsia="华康黑体W3(P)" w:cs="华康黑体W3(P)"/>
          <w:sz w:val="36"/>
          <w:szCs w:val="36"/>
          <w:u w:val="none"/>
          <w:lang w:eastAsia="zh-CN"/>
        </w:rPr>
      </w:pPr>
    </w:p>
    <w:p w14:paraId="28EDB0E1">
      <w:pPr>
        <w:rPr>
          <w:rFonts w:hint="eastAsia" w:ascii="华康黑体W3(P)" w:hAnsi="华康黑体W3(P)" w:eastAsia="华康黑体W3(P)" w:cs="华康黑体W3(P)"/>
          <w:sz w:val="28"/>
        </w:rPr>
      </w:pPr>
    </w:p>
    <w:p w14:paraId="6D35CA4E">
      <w:pPr>
        <w:ind w:firstLine="140" w:firstLineChars="50"/>
        <w:rPr>
          <w:rFonts w:hint="eastAsia" w:ascii="华康黑体W3(P)" w:hAnsi="华康黑体W3(P)" w:eastAsia="华康黑体W3(P)" w:cs="华康黑体W3(P)"/>
        </w:rPr>
        <w:spacing/>
      </w:pPr>
      <w:r>
        <w:rPr>
          <w:rFonts w:ascii="Times New Roman" w:hAnsi="Times New Roman" w:eastAsia="Times New Roman" w:cs="Times New Roman"/>
          <w:sz w:val="28"/>
        </w:rPr>
        <w:t xml:space="preserve">Legal Notice:</w:t>
      </w:r>
    </w:p>
    <w:p w14:paraId="4EAA6C45">
      <w:pPr>
        <w:widowControl/>
        <w:autoSpaceDE w:val="0"/>
        <w:autoSpaceDN w:val="0"/>
        <w:adjustRightInd w:val="0"/>
        <w:spacing w:after="240"/>
        <w:ind w:firstLine="560" w:firstLineChars="200"/>
        <w:jc w:val="left"/>
        <w:rPr>
          <w:rFonts w:hint="eastAsia" w:ascii="华康黑体W3(P)" w:hAnsi="华康黑体W3(P)" w:eastAsia="华康黑体W3(P)" w:cs="华康黑体W3(P)"/>
          <w:sz w:val="28"/>
        </w:rPr>
      </w:pPr>
      <w:r>
        <w:rPr>
          <w:rFonts w:ascii="Times New Roman" w:hAnsi="Times New Roman" w:eastAsia="Times New Roman" w:cs="Times New Roman"/>
          <w:sz w:val="28"/>
        </w:rPr>
        <w:t xml:space="preserve">First of all, we would like to thank you for using this product.</w:t>
      </w:r>
      <w:r>
        <w:rPr>
          <w:rFonts w:ascii="Times New Roman" w:hAnsi="Times New Roman" w:eastAsia="Times New Roman" w:cs="Times New Roman"/>
          <w:sz w:val="28"/>
        </w:rPr>
        <w:t xml:space="preserve"> If you have agreed to the following terms, you will receive the support and services we provide.</w:t>
      </w:r>
      <w:r>
        <w:rPr>
          <w:rFonts w:ascii="Times New Roman" w:hAnsi="Times New Roman" w:eastAsia="Times New Roman" w:cs="Times New Roman"/>
          <w:sz w:val="28"/>
        </w:rPr>
        <w:t xml:space="preserve"> </w:t>
      </w:r>
      <w:r>
        <w:rPr>
          <w:rFonts w:ascii="Times New Roman" w:hAnsi="Times New Roman" w:eastAsia="Times New Roman" w:cs="Times New Roman"/>
          <w:sz w:val="28"/>
        </w:rPr>
        <w:t xml:space="preserve">If you have any questions about this, please feel free to contact us.</w:t>
      </w:r>
      <w:r>
        <w:rPr>
          <w:rFonts w:ascii="Times New Roman" w:hAnsi="Times New Roman" w:eastAsia="Times New Roman" w:cs="Times New Roman"/>
          <w:sz w:val="28"/>
        </w:rPr>
        <w:t xml:space="preserve"> If you cannot accept the following terms, please stop using this manual.</w:t>
      </w:r>
    </w:p>
    <w:p w14:paraId="63FBC1AF">
      <w:pPr>
        <w:widowControl/>
        <w:autoSpaceDE w:val="0"/>
        <w:autoSpaceDN w:val="0"/>
        <w:adjustRightInd w:val="0"/>
        <w:spacing w:after="240"/>
        <w:ind w:firstLine="560" w:firstLineChars="200"/>
        <w:jc w:val="left"/>
        <w:rPr>
          <w:rFonts w:hint="eastAsia" w:ascii="华康黑体W3(P)" w:hAnsi="华康黑体W3(P)" w:eastAsia="华康黑体W3(P)" w:cs="华康黑体W3(P)"/>
          <w:sz w:val="28"/>
        </w:rPr>
      </w:pPr>
      <w:r>
        <w:rPr>
          <w:rFonts w:ascii="Times New Roman" w:hAnsi="Times New Roman" w:eastAsia="Times New Roman" w:cs="Times New Roman"/>
          <w:sz w:val="28"/>
        </w:rPr>
        <w:t xml:space="preserve">The ownership of this manual belongs to the distributor.</w:t>
      </w:r>
      <w:r>
        <w:rPr>
          <w:rFonts w:ascii="Times New Roman" w:hAnsi="Times New Roman" w:eastAsia="Times New Roman" w:cs="Times New Roman"/>
          <w:sz w:val="28"/>
        </w:rPr>
        <w:t xml:space="preserve"> Any rights not expressly granted in this manual are reserved.</w:t>
      </w:r>
      <w:r>
        <w:rPr>
          <w:rFonts w:ascii="Times New Roman" w:hAnsi="Times New Roman" w:eastAsia="Times New Roman" w:cs="Times New Roman"/>
          <w:sz w:val="28"/>
        </w:rPr>
        <w:t xml:space="preserve"> Without the prior written permission of the distributor, no unit or individual may copy, transmit, distribute, use, or disclose the information about the products in this manual, as well as any images, tables, data, and other information contained in this manual.</w:t>
      </w:r>
    </w:p>
    <w:p w14:paraId="2C3D9A15">
      <w:pPr>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   Reading this document without the prior written consent of the distributor does not grant the reader any rights to use any marks appearing in this document, whether impliedly, estoppel, or otherwise.</w:t>
      </w:r>
    </w:p>
    <w:p w14:paraId="66F6655A">
      <w:pPr>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The storage and use of this product should be conducted in accordance with the product manual, relevant contracts, or applicable laws and regulations.</w:t>
      </w:r>
    </w:p>
    <w:p w14:paraId="112AFEA2">
      <w:pPr>
        <w:ind w:firstLine="560" w:firstLineChars="200"/>
        <w:rPr>
          <w:rFonts w:hint="eastAsia" w:ascii="华康黑体W3(P)" w:hAnsi="华康黑体W3(P)" w:eastAsia="华康黑体W3(P)" w:cs="华康黑体W3(P)"/>
          <w:sz w:val="28"/>
        </w:rPr>
        <w:spacing/>
      </w:pPr>
      <w:r>
        <w:rPr>
          <w:rFonts w:ascii="Times New Roman" w:hAnsi="Times New Roman" w:eastAsia="Times New Roman" w:cs="Times New Roman"/>
          <w:sz w:val="28"/>
          <w:lang w:eastAsia="zh-CN"/>
        </w:rPr>
        <w:t xml:space="preserve">The dealer reserves the right to modify and improve the products described in this manual without prior notice, and also reserves the right to revise or withdraw this manual at any time.</w:t>
      </w:r>
      <w:r>
        <w:rPr>
          <w:rFonts w:ascii="Times New Roman" w:hAnsi="Times New Roman" w:eastAsia="Times New Roman" w:cs="Times New Roman"/>
          <w:sz w:val="28"/>
          <w:lang w:eastAsia="zh-CN"/>
        </w:rPr>
        <w:t xml:space="preserve"> If there are any unclear texts in this user manual, please promptly consult with the agent or seller.</w:t>
      </w:r>
    </w:p>
    <w:p w14:paraId="5508A1A6">
      <w:pPr>
        <w:keepNext w:val="0"/>
        <w:keepLines w:val="0"/>
        <w:widowControl/>
        <w:suppressLineNumbers w:val="0"/>
        <w:jc w:val="left"/>
        <w:rPr>
          <w:rFonts w:hint="eastAsia" w:ascii="华康黑体W3(P)" w:hAnsi="华康黑体W3(P)" w:eastAsia="华康黑体W3(P)" w:cs="华康黑体W3(P)"/>
          <w:b w:val="0"/>
          <w:bCs w:val="0"/>
          <w:sz w:val="28"/>
          <w:szCs w:val="28"/>
        </w:rPr>
        <w:spacing/>
      </w:pPr>
      <w:r>
        <w:rPr>
          <w:rFonts w:ascii="Times New Roman" w:hAnsi="Times New Roman" w:eastAsia="Times New Roman" w:cs="Times New Roman"/>
          <w:b w:val="0"/>
          <w:bCs w:val="0"/>
          <w:color w:val="E61F19"/>
          <w:kern w:val="0"/>
          <w:sz w:val="28"/>
          <w:szCs w:val="28"/>
          <w:lang w:val="en-US" w:eastAsia="zh-CN" w:bidi="ar"/>
        </w:rPr>
        <w:t xml:space="preserve">      Special statement: This product is only for anti-theft use in terminal vehicles and is strictly prohibited for illegal purposes</w:t>
      </w:r>
    </w:p>
    <w:p w14:paraId="5DAD1A03">
      <w:pPr>
        <w:keepNext w:val="0"/>
        <w:keepLines w:val="0"/>
        <w:widowControl/>
        <w:suppressLineNumbers w:val="0"/>
        <w:jc w:val="left"/>
        <w:rPr>
          <w:rFonts w:hint="eastAsia" w:ascii="华康黑体W3(P)" w:hAnsi="华康黑体W3(P)" w:eastAsia="华康黑体W3(P)" w:cs="华康黑体W3(P)"/>
          <w:b w:val="0"/>
          <w:bCs w:val="0"/>
          <w:sz w:val="28"/>
          <w:szCs w:val="28"/>
        </w:rPr>
        <w:spacing/>
      </w:pPr>
      <w:r>
        <w:rPr>
          <w:rFonts w:ascii="Times New Roman" w:hAnsi="Times New Roman" w:eastAsia="Times New Roman" w:cs="Times New Roman"/>
          <w:b w:val="0"/>
          <w:bCs w:val="0"/>
          <w:color w:val="E61F19"/>
          <w:kern w:val="0"/>
          <w:sz w:val="28"/>
          <w:szCs w:val="28"/>
          <w:lang w:val="en-US" w:eastAsia="zh-CN" w:bidi="ar"/>
        </w:rPr>
        <w:t xml:space="preserve">For the purpose of use, otherwise, all legal responsibilities arising therefrom shall be borne by the user.</w:t>
      </w:r>
    </w:p>
    <w:p w14:paraId="383390D8">
      <w:pPr>
        <w:rPr>
          <w:rFonts w:hint="eastAsia" w:ascii="华康黑体W3(P)" w:hAnsi="华康黑体W3(P)" w:eastAsia="华康黑体W3(P)" w:cs="华康黑体W3(P)"/>
          <w:sz w:val="28"/>
          <w:lang w:val="en-US" w:eastAsia="zh-CN"/>
        </w:rPr>
      </w:pPr>
    </w:p>
    <w:p w14:paraId="036E3A4B">
      <w:pPr>
        <w:widowControl/>
        <w:jc w:val="left"/>
        <w:rPr>
          <w:rFonts w:hint="eastAsia" w:ascii="华康黑体W3(P)" w:hAnsi="华康黑体W3(P)" w:eastAsia="华康黑体W3(P)" w:cs="华康黑体W3(P)"/>
          <w:kern w:val="0"/>
          <w:sz w:val="28"/>
          <w:szCs w:val="28"/>
        </w:rPr>
        <w:spacing/>
      </w:pPr>
      <w:r>
        <w:rPr>
          <w:rFonts w:hint="eastAsia" w:ascii="华康黑体W3(P)" w:hAnsi="华康黑体W3(P)" w:eastAsia="华康黑体W3(P)" w:cs="华康黑体W3(P)"/>
          <w:kern w:val="0"/>
          <w:sz w:val="28"/>
          <w:szCs w:val="28"/>
        </w:rPr>
        <w:br w:type="page"/>
      </w:r>
    </w:p>
    <w:sdt>
      <w:sdtPr>
        <w:rPr>
          <w:rFonts w:hint="eastAsia" w:ascii="华康黑体W3(P)" w:hAnsi="华康黑体W3(P)" w:eastAsia="华康黑体W3(P)" w:cs="华康黑体W3(P)"/>
          <w:b w:val="0"/>
          <w:bCs w:val="0"/>
          <w:color w:val="auto"/>
          <w:kern w:val="2"/>
          <w:sz w:val="21"/>
          <w:szCs w:val="22"/>
          <w:lang w:val="zh-CN"/>
        </w:rPr>
        <w:id w:val="1186241884"/>
        <w:docPartObj>
          <w:docPartGallery w:val="Table of Contents"/>
          <w:docPartUnique/>
        </w:docPartObj>
      </w:sdtPr>
      <w:sdtEndPr>
        <w:rPr>
          <w:rFonts w:hint="eastAsia" w:ascii="华康黑体W3(P)" w:hAnsi="华康黑体W3(P)" w:eastAsia="华康黑体W3(P)" w:cs="华康黑体W3(P)"/>
          <w:b w:val="0"/>
          <w:bCs w:val="0"/>
          <w:color w:val="auto"/>
          <w:kern w:val="2"/>
          <w:sz w:val="21"/>
          <w:szCs w:val="22"/>
          <w:lang w:val="en-US"/>
        </w:rPr>
      </w:sdtEndPr>
      <w:sdtContent>
        <w:p w14:paraId="4FF11ED3">
          <w:pPr>
            <w:pStyle w:val="17"/>
            <w:rPr>
              <w:rFonts w:hint="eastAsia" w:ascii="华康黑体W3(P)" w:hAnsi="华康黑体W3(P)" w:eastAsia="华康黑体W3(P)" w:cs="华康黑体W3(P)"/>
            </w:rPr>
            <w:spacing/>
          </w:pPr>
          <w:r>
            <w:rPr>
              <w:rFonts w:ascii="Times New Roman" w:hAnsi="Times New Roman" w:eastAsia="Times New Roman" w:cs="Times New Roman"/>
              <w:lang w:val="zh-CN"/>
            </w:rPr>
            <w:t xml:space="preserve">catalogue</w:t>
          </w:r>
        </w:p>
        <w:p w14:paraId="2227E34C">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TOC \o "1-3" \h \z \u </w:instrText>
          </w:r>
          <w:r>
            <w:rPr>
              <w:rFonts w:ascii="Times New Roman" w:hAnsi="Times New Roman" w:eastAsia="Times New Roman" w:cs="Times New Roman"/>
            </w:rPr>
            <w:fldChar w:fldCharType="separate"/>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"_Toc6922812"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rPr>
            <w:t xml:space="preserve">1. Product Features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rPr>
            <w:t xml:space="preserve">3</w:t>
          </w:r>
          <w:r>
            <w:rPr>
              <w:rFonts w:ascii="Times New Roman" w:hAnsi="Times New Roman" w:eastAsia="Times New Roman" w:cs="Times New Roman"/>
              <w:sz w:val="28"/>
              <w:szCs w:val="28"/>
            </w:rPr>
            <w:fldChar w:fldCharType="end"/>
          </w:r>
        </w:p>
        <w:p w14:paraId="51E500B8">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"_Toc6922815"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rPr>
            <w:t xml:space="preserve">II. Product Installation Instructions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rPr>
            <w:fldChar w:fldCharType="end"/>
          </w:r>
        </w:p>
        <w:p w14:paraId="271D93A2">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"_Toc6922815"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lang w:eastAsia="zh-CN"/>
            </w:rPr>
            <w:t xml:space="preserve">III. Product Parameters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rPr>
            <w:fldChar w:fldCharType="end"/>
          </w:r>
        </w:p>
        <w:p w14:paraId="45A39E5D">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"_Toc6922817"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lang w:eastAsia="zh-CN"/>
            </w:rPr>
            <w:t xml:space="preserve">IV. Basic product functions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lang w:val="en-US" w:eastAsia="zh-CN"/>
            </w:rPr>
            <w:t xml:space="preserve">6</w:t>
          </w:r>
          <w:r>
            <w:rPr>
              <w:rFonts w:ascii="Times New Roman" w:hAnsi="Times New Roman" w:eastAsia="Times New Roman" w:cs="Times New Roman"/>
              <w:sz w:val="28"/>
              <w:szCs w:val="28"/>
            </w:rPr>
            <w:fldChar w:fldCharType="end"/>
          </w:r>
        </w:p>
        <w:p w14:paraId="0ABE1B2C">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"_Toc6922820"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lang w:eastAsia="zh-CN"/>
            </w:rPr>
            <w:t xml:space="preserve">V. Analysis and Troubleshooting of Common Issues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rPr>
            <w:t xml:space="preserve">6</w:t>
          </w:r>
          <w:r>
            <w:rPr>
              <w:rFonts w:ascii="Times New Roman" w:hAnsi="Times New Roman" w:eastAsia="Times New Roman" w:cs="Times New Roman"/>
              <w:sz w:val="28"/>
              <w:szCs w:val="28"/>
            </w:rPr>
            <w:fldChar w:fldCharType="end"/>
          </w:r>
        </w:p>
        <w:p w14:paraId="58C5054C">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"_Toc6922821"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lang w:eastAsia="zh-CN"/>
            </w:rPr>
            <w:t xml:space="preserve">VI. Precautions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rPr>
            <w:t xml:space="preserve">7</w:t>
          </w:r>
          <w:r>
            <w:rPr>
              <w:rFonts w:ascii="Times New Roman" w:hAnsi="Times New Roman" w:eastAsia="Times New Roman" w:cs="Times New Roman"/>
              <w:sz w:val="28"/>
              <w:szCs w:val="28"/>
            </w:rPr>
            <w:fldChar w:fldCharType="end"/>
          </w:r>
        </w:p>
        <w:p w14:paraId="08B4D90C">
          <w:pPr>
            <w:pStyle w:val="6"/>
            <w:tabs>
              <w:tab w:val="right" w:leader="dot" w:pos="8302"/>
            </w:tabs>
            <w:rPr>
              <w:rFonts w:hint="eastAsia" w:ascii="华康黑体W3(P)" w:hAnsi="华康黑体W3(P)" w:eastAsia="华康黑体W3(P)" w:cs="华康黑体W3(P)"/>
              <w:sz w:val="28"/>
              <w:szCs w:val="28"/>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 HYPERLINK \l "_Toc6922822" </w:instrText>
          </w:r>
          <w:r>
            <w:rPr>
              <w:rFonts w:ascii="Times New Roman" w:hAnsi="Times New Roman" w:eastAsia="Times New Roman" w:cs="Times New Roman"/>
            </w:rPr>
            <w:fldChar w:fldCharType="separate"/>
          </w:r>
          <w:r>
            <w:rPr>
              <w:rStyle w:val="11"/>
              <w:rFonts w:ascii="Times New Roman" w:hAnsi="Times New Roman" w:eastAsia="Times New Roman" w:cs="Times New Roman"/>
              <w:sz w:val="28"/>
              <w:szCs w:val="28"/>
              <w:shd w:val="pct10" w:color="auto" w:fill="FFFFFF"/>
              <w:lang w:eastAsia="zh-CN"/>
            </w:rPr>
            <w:t xml:space="preserve">VII. After-sales Service </w:t>
          </w:r>
          <w:r>
            <w:rPr>
              <w:rFonts w:hint="eastAsia" w:ascii="华康黑体W3(P)" w:hAnsi="华康黑体W3(P)" w:eastAsia="华康黑体W3(P)" w:cs="华康黑体W3(P)"/>
              <w:sz w:val="28"/>
              <w:szCs w:val="28"/>
            </w:rPr>
            <w:tab/>
          </w:r>
          <w:r>
            <w:rPr>
              <w:rFonts w:ascii="Times New Roman" w:hAnsi="Times New Roman" w:eastAsia="Times New Roman" w:cs="Times New Roman"/>
              <w:sz w:val="28"/>
              <w:szCs w:val="28"/>
            </w:rPr>
            <w:t xml:space="preserve">8</w:t>
          </w:r>
          <w:r>
            <w:rPr>
              <w:rFonts w:ascii="Times New Roman" w:hAnsi="Times New Roman" w:eastAsia="Times New Roman" w:cs="Times New Roman"/>
              <w:sz w:val="28"/>
              <w:szCs w:val="28"/>
            </w:rPr>
            <w:fldChar w:fldCharType="end"/>
          </w:r>
        </w:p>
        <w:p w14:paraId="081DB96F">
          <w:pPr>
            <w:rPr>
              <w:rFonts w:hint="eastAsia" w:ascii="华康黑体W3(P)" w:hAnsi="华康黑体W3(P)" w:eastAsia="华康黑体W3(P)" w:cs="华康黑体W3(P)"/>
            </w:rPr>
            <w:spacing/>
          </w:pPr>
          <w:r>
            <w:rPr>
              <w:rFonts w:ascii="Times New Roman" w:hAnsi="Times New Roman" w:eastAsia="Times New Roman" w:cs="Times New Roman"/>
            </w:rPr>
            <w:fldChar w:fldCharType="end"/>
          </w:r>
        </w:p>
      </w:sdtContent>
    </w:sdt>
    <w:p w14:paraId="3FF58AE2">
      <w:pPr>
        <w:pStyle w:val="2"/>
        <w:rPr>
          <w:rFonts w:hint="eastAsia" w:ascii="华康黑体W3(P)" w:hAnsi="华康黑体W3(P)" w:eastAsia="华康黑体W3(P)" w:cs="华康黑体W3(P)"/>
          <w:shd w:val="pct10" w:color="auto" w:fill="FFFFFF"/>
        </w:rPr>
      </w:pPr>
    </w:p>
    <w:p w14:paraId="44CE8283">
      <w:pPr>
        <w:pStyle w:val="2"/>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rPr>
        <w:t xml:space="preserve">1. Product Features</w:t>
      </w:r>
    </w:p>
    <w:p w14:paraId="3322BB3A">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lang w:val="en-US" w:eastAsia="zh-CN"/>
        </w:rPr>
        <w:t xml:space="preserve">4G built-in antenna supports all networks, with a highly integrated design</w:t>
      </w:r>
    </w:p>
    <w:p w14:paraId="3D7BDC2C">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lang w:eastAsia="zh-CN"/>
        </w:rPr>
        <w:t xml:space="preserve">Wire-free, with built-in strong magnet</w:t>
      </w:r>
    </w:p>
    <w:p w14:paraId="706C1C41">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Real-time location tracking, track playback</w:t>
      </w:r>
    </w:p>
    <w:p w14:paraId="0E89841D">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GPRS/SMS (SMS query notification) remote monitoring</w:t>
      </w:r>
    </w:p>
    <w:p w14:paraId="3A21BC2C">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4 types of batteries with different capacities (1200mAh/3000mAh/6000mAh/10000mAh)</w:t>
      </w:r>
    </w:p>
    <w:p w14:paraId="646D0E96">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Overspeed alarm, fence alarm</w:t>
      </w:r>
    </w:p>
    <w:p w14:paraId="36B0B308">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Intelligent power saving, static dormancy, and online with vibration</w:t>
      </w:r>
    </w:p>
    <w:p w14:paraId="42979D55">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Multiple working modes can be switched</w:t>
      </w:r>
    </w:p>
    <w:p w14:paraId="378AD0E2">
      <w:pPr>
        <w:pStyle w:val="15"/>
        <w:numPr>
          <w:ilvl w:val="0"/>
          <w:numId w:val="1"/>
        </w:numPr>
        <w:ind w:firstLineChars="0"/>
        <w:rPr>
          <w:rFonts w:hint="eastAsia" w:ascii="华康黑体W3(P)" w:hAnsi="华康黑体W3(P)" w:eastAsia="华康黑体W3(P)" w:cs="华康黑体W3(P)"/>
          <w:sz w:val="28"/>
        </w:rPr>
        <w:spacing/>
      </w:pPr>
      <w:r>
        <w:rPr>
          <w:rFonts w:ascii="Times New Roman" w:hAnsi="Times New Roman" w:eastAsia="Times New Roman" w:cs="Times New Roman"/>
          <w:sz w:val="28"/>
        </w:rPr>
        <w:t xml:space="preserve">GPS+BD+LBS+WiFi quadruple positioning</w:t>
      </w:r>
    </w:p>
    <w:p w14:paraId="094FFA67">
      <w:pPr>
        <w:pStyle w:val="2"/>
        <w:ind w:left="1325" w:hanging="1321" w:hangingChars="300"/>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rPr>
        <w:t xml:space="preserve">II. Product Installation Instructions</w:t>
      </w:r>
    </w:p>
    <w:p w14:paraId="196EEEE9">
      <w:pPr>
        <w:jc w:val="center"/>
        <w:rPr>
          <w:rFonts w:hint="eastAsia" w:ascii="华康黑体W3(P)" w:hAnsi="华康黑体W3(P)" w:eastAsia="华康黑体W3(P)" w:cs="华康黑体W3(P)"/>
          <w:shd w:val="pct10" w:color="auto" w:fill="FFFFFF"/>
          <w:lang w:eastAsia="zh-CN"/>
        </w:rPr>
        <w:spacing/>
      </w:pPr>
      <w:r>
        <w:drawing>
          <wp:inline distT="0" distB="0" distL="114300" distR="114300">
            <wp:extent cx="5274310" cy="36760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6015"/>
                    </a:xfrm>
                    <a:prstGeom prst="rect">
                      <a:avLst/>
                    </a:prstGeom>
                    <a:noFill/>
                    <a:ln>
                      <a:noFill/>
                    </a:ln>
                  </pic:spPr>
                </pic:pic>
              </a:graphicData>
            </a:graphic>
          </wp:inline>
        </w:drawing>
      </w:r>
    </w:p>
    <w:p w14:paraId="2F05F3E9">
      <w:pPr>
        <w:pStyle w:val="2"/>
        <w:rPr>
          <w:rFonts w:hint="eastAsia" w:ascii="华康黑体W3(P)" w:hAnsi="华康黑体W3(P)" w:eastAsia="华康黑体W3(P)" w:cs="华康黑体W3(P)"/>
          <w:shd w:val="pct10" w:color="auto" w:fill="FFFFFF"/>
        </w:rPr>
      </w:pPr>
    </w:p>
    <w:p w14:paraId="2CC966A4">
      <w:pPr>
        <w:pStyle w:val="2"/>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lang w:eastAsia="zh-CN"/>
        </w:rPr>
        <w:t xml:space="preserve">III. Product Parameters</w:t>
      </w:r>
    </w:p>
    <w:tbl>
      <w:tblPr>
        <w:tblStyle w:val="7"/>
        <w:tblW w:w="7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8"/>
        <w:gridCol w:w="4527"/>
      </w:tblGrid>
      <w:tr w14:paraId="3EB11A97">
        <w:trPr>
          <w:trHeight w:val="567" w:hRule="atLeast"/>
          <w:jc w:val="center"/>
        </w:trPr>
        <w:tc>
          <w:tcPr>
            <w:tcW w:w="2938" w:type="dxa"/>
            <w:vAlign w:val="center"/>
          </w:tcPr>
          <w:p w14:paraId="4D450964">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Specification content</w:t>
            </w:r>
          </w:p>
        </w:tc>
        <w:tc>
          <w:tcPr>
            <w:tcW w:w="4527" w:type="dxa"/>
            <w:vAlign w:val="center"/>
          </w:tcPr>
          <w:p w14:paraId="2A6DE141">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Specifications</w:t>
            </w:r>
          </w:p>
        </w:tc>
      </w:tr>
      <w:tr w14:paraId="74AF3857">
        <w:trPr>
          <w:trHeight w:val="567" w:hRule="atLeast"/>
          <w:jc w:val="center"/>
        </w:trPr>
        <w:tc>
          <w:tcPr>
            <w:tcW w:w="2938" w:type="dxa"/>
            <w:vAlign w:val="center"/>
          </w:tcPr>
          <w:p w14:paraId="12C01253">
            <w:pPr>
              <w:tabs>
                <w:tab w:val="center" w:pos="912"/>
                <w:tab w:val="right" w:pos="1824"/>
              </w:tabs>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Size (bare machine)</w:t>
            </w:r>
          </w:p>
        </w:tc>
        <w:tc>
          <w:tcPr>
            <w:tcW w:w="4527" w:type="dxa"/>
            <w:vAlign w:val="center"/>
          </w:tcPr>
          <w:p w14:paraId="35DE6938">
            <w:pPr>
              <w:jc w:val="center"/>
              <w:rPr>
                <w:rFonts w:hint="eastAsia" w:ascii="华康黑体W3(P)" w:hAnsi="华康黑体W3(P)" w:eastAsia="华康黑体W3(P)" w:cs="华康黑体W3(P)"/>
                <w:sz w:val="24"/>
                <w:szCs w:val="24"/>
                <w:lang w:val="en-US" w:eastAsia="zh-CN"/>
              </w:rPr>
              <w:spacing/>
            </w:pPr>
            <w:r>
              <w:rPr>
                <w:rFonts w:ascii="Times New Roman" w:hAnsi="Times New Roman" w:eastAsia="Times New Roman" w:cs="Times New Roman"/>
                <w:sz w:val="24"/>
                <w:szCs w:val="24"/>
                <w:lang w:val="en-US" w:eastAsia="zh-CN"/>
              </w:rPr>
              <w:t xml:space="preserve">Type A: 57*33*19mm (length * width * thickness)</w:t>
            </w:r>
          </w:p>
          <w:p w14:paraId="437B8109">
            <w:pPr>
              <w:jc w:val="center"/>
              <w:rPr>
                <w:rFonts w:hint="eastAsia" w:ascii="华康黑体W3(P)" w:hAnsi="华康黑体W3(P)" w:eastAsia="华康黑体W3(P)" w:cs="华康黑体W3(P)"/>
                <w:sz w:val="24"/>
                <w:szCs w:val="24"/>
                <w:lang w:val="en-US" w:eastAsia="zh-CN"/>
              </w:rPr>
              <w:spacing/>
            </w:pPr>
            <w:r>
              <w:rPr>
                <w:rFonts w:ascii="Times New Roman" w:hAnsi="Times New Roman" w:eastAsia="Times New Roman" w:cs="Times New Roman"/>
                <w:sz w:val="24"/>
                <w:szCs w:val="24"/>
                <w:lang w:val="en-US" w:eastAsia="zh-CN"/>
              </w:rPr>
              <w:t xml:space="preserve">Type B: 75*45*21mm (length * width * thickness)</w:t>
            </w:r>
          </w:p>
          <w:p w14:paraId="583E7B2F">
            <w:pPr>
              <w:jc w:val="center"/>
              <w:rPr>
                <w:rFonts w:hint="eastAsia" w:ascii="华康黑体W3(P)" w:hAnsi="华康黑体W3(P)" w:eastAsia="华康黑体W3(P)" w:cs="华康黑体W3(P)"/>
                <w:sz w:val="24"/>
                <w:szCs w:val="24"/>
                <w:lang w:val="en-US" w:eastAsia="zh-CN"/>
              </w:rPr>
              <w:spacing/>
            </w:pPr>
            <w:r>
              <w:rPr>
                <w:rFonts w:ascii="Times New Roman" w:hAnsi="Times New Roman" w:eastAsia="Times New Roman" w:cs="Times New Roman"/>
                <w:sz w:val="24"/>
                <w:szCs w:val="24"/>
                <w:lang w:val="en-US" w:eastAsia="zh-CN"/>
              </w:rPr>
              <w:t xml:space="preserve">Type C: 75*45*31mm (length * width * thickness)</w:t>
            </w:r>
          </w:p>
          <w:p w14:paraId="3EA69A9E">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lang w:val="en-US" w:eastAsia="zh-CN"/>
              </w:rPr>
              <w:t xml:space="preserve">Type D: 85*61*31mm (length * width * thickness)</w:t>
            </w:r>
          </w:p>
        </w:tc>
      </w:tr>
      <w:tr w14:paraId="7E99E16A">
        <w:trPr>
          <w:trHeight w:val="567" w:hRule="atLeast"/>
          <w:jc w:val="center"/>
        </w:trPr>
        <w:tc>
          <w:tcPr>
            <w:tcW w:w="2938" w:type="dxa"/>
            <w:vAlign w:val="center"/>
          </w:tcPr>
          <w:p w14:paraId="701B1383">
            <w:pPr>
              <w:tabs>
                <w:tab w:val="center" w:pos="912"/>
                <w:tab w:val="right" w:pos="1824"/>
              </w:tabs>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weight</w:t>
            </w:r>
          </w:p>
        </w:tc>
        <w:tc>
          <w:tcPr>
            <w:tcW w:w="4527" w:type="dxa"/>
            <w:vAlign w:val="center"/>
          </w:tcPr>
          <w:p w14:paraId="7852892F">
            <w:pPr>
              <w:jc w:val="center"/>
              <w:rPr>
                <w:rFonts w:hint="eastAsia" w:ascii="华康黑体W3(P)" w:hAnsi="华康黑体W3(P)" w:eastAsia="华康黑体W3(P)" w:cs="华康黑体W3(P)"/>
                <w:sz w:val="24"/>
                <w:szCs w:val="24"/>
                <w:lang w:val="en-US" w:eastAsia="zh-CN"/>
              </w:rPr>
              <w:spacing/>
            </w:pPr>
            <w:r>
              <w:rPr>
                <w:rFonts w:ascii="Times New Roman" w:hAnsi="Times New Roman" w:eastAsia="Times New Roman" w:cs="Times New Roman"/>
                <w:sz w:val="24"/>
                <w:szCs w:val="24"/>
                <w:lang w:val="en-US" w:eastAsia="zh-CN"/>
              </w:rPr>
              <w:t xml:space="preserve">Type A: 40.2g (excluding magnet)</w:t>
            </w:r>
          </w:p>
          <w:p w14:paraId="3BC41F9B">
            <w:pPr>
              <w:jc w:val="center"/>
              <w:rPr>
                <w:rFonts w:hint="eastAsia" w:ascii="华康黑体W3(P)" w:hAnsi="华康黑体W3(P)" w:eastAsia="华康黑体W3(P)" w:cs="华康黑体W3(P)"/>
                <w:sz w:val="24"/>
                <w:szCs w:val="24"/>
                <w:lang w:val="en-US" w:eastAsia="zh-CN"/>
              </w:rPr>
              <w:spacing/>
            </w:pPr>
            <w:r>
              <w:rPr>
                <w:rFonts w:ascii="Times New Roman" w:hAnsi="Times New Roman" w:eastAsia="Times New Roman" w:cs="Times New Roman"/>
                <w:sz w:val="24"/>
                <w:szCs w:val="24"/>
                <w:lang w:val="en-US" w:eastAsia="zh-CN"/>
              </w:rPr>
              <w:t xml:space="preserve">Type B: 95.1g (including magnet)</w:t>
            </w:r>
          </w:p>
          <w:p w14:paraId="086C34E1">
            <w:pPr>
              <w:jc w:val="center"/>
              <w:rPr>
                <w:rFonts w:hint="eastAsia" w:ascii="华康黑体W3(P)" w:hAnsi="华康黑体W3(P)" w:eastAsia="华康黑体W3(P)" w:cs="华康黑体W3(P)"/>
                <w:sz w:val="24"/>
                <w:szCs w:val="24"/>
                <w:lang w:val="en-US" w:eastAsia="zh-CN"/>
              </w:rPr>
              <w:spacing/>
            </w:pPr>
            <w:r>
              <w:rPr>
                <w:rFonts w:ascii="Times New Roman" w:hAnsi="Times New Roman" w:eastAsia="Times New Roman" w:cs="Times New Roman"/>
                <w:sz w:val="24"/>
                <w:szCs w:val="24"/>
                <w:lang w:val="en-US" w:eastAsia="zh-CN"/>
              </w:rPr>
              <w:t xml:space="preserve">Type C: 146g (including magnet)</w:t>
            </w:r>
          </w:p>
          <w:p w14:paraId="564251E2">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lang w:val="en-US" w:eastAsia="zh-CN"/>
              </w:rPr>
              <w:t xml:space="preserve">Type D: 216.5g (including magnet)</w:t>
            </w:r>
          </w:p>
        </w:tc>
      </w:tr>
      <w:tr w14:paraId="7A8189A0">
        <w:trPr>
          <w:trHeight w:val="567" w:hRule="atLeast"/>
          <w:jc w:val="center"/>
        </w:trPr>
        <w:tc>
          <w:tcPr>
            <w:tcW w:w="2938" w:type="dxa"/>
            <w:vAlign w:val="center"/>
          </w:tcPr>
          <w:p w14:paraId="5C45015E">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Built-in battery</w:t>
            </w:r>
          </w:p>
        </w:tc>
        <w:tc>
          <w:tcPr>
            <w:tcW w:w="4527" w:type="dxa"/>
            <w:vAlign w:val="center"/>
          </w:tcPr>
          <w:p w14:paraId="7B081856">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1200/3000/6000/10000mAh（3.7V）</w:t>
            </w:r>
          </w:p>
        </w:tc>
      </w:tr>
      <w:tr w14:paraId="0BD4A269">
        <w:trPr>
          <w:trHeight w:val="567" w:hRule="atLeast"/>
          <w:jc w:val="center"/>
        </w:trPr>
        <w:tc>
          <w:tcPr>
            <w:tcW w:w="2938" w:type="dxa"/>
            <w:vAlign w:val="center"/>
          </w:tcPr>
          <w:p w14:paraId="6EF80824">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charging voltage</w:t>
            </w:r>
          </w:p>
        </w:tc>
        <w:tc>
          <w:tcPr>
            <w:tcW w:w="4527" w:type="dxa"/>
            <w:vAlign w:val="center"/>
          </w:tcPr>
          <w:p w14:paraId="301E2CC1">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DC 5V/600mA（type-c）</w:t>
            </w:r>
          </w:p>
        </w:tc>
      </w:tr>
      <w:tr w14:paraId="51AE9051">
        <w:trPr>
          <w:trHeight w:val="567" w:hRule="atLeast"/>
          <w:jc w:val="center"/>
        </w:trPr>
        <w:tc>
          <w:tcPr>
            <w:tcW w:w="2938" w:type="dxa"/>
            <w:vAlign w:val="center"/>
          </w:tcPr>
          <w:p w14:paraId="12591D21">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Operating Temperature</w:t>
            </w:r>
          </w:p>
        </w:tc>
        <w:tc>
          <w:tcPr>
            <w:tcW w:w="4527" w:type="dxa"/>
            <w:vAlign w:val="center"/>
          </w:tcPr>
          <w:p w14:paraId="597E043A">
            <w:pPr>
              <w:jc w:val="center"/>
              <w:rPr>
                <w:rFonts w:hint="eastAsia" w:ascii="华康黑体W3(P)" w:hAnsi="华康黑体W3(P)" w:eastAsia="华康黑体W3(P)" w:cs="华康黑体W3(P)"/>
                <w:color w:val="000000"/>
                <w:kern w:val="0"/>
                <w:sz w:val="24"/>
                <w:szCs w:val="24"/>
              </w:rPr>
              <w:spacing/>
            </w:pPr>
            <w:r>
              <w:rPr>
                <w:rFonts w:ascii="Times New Roman" w:hAnsi="Times New Roman" w:eastAsia="Times New Roman" w:cs="Times New Roman"/>
                <w:color w:val="000000"/>
                <w:kern w:val="0"/>
                <w:sz w:val="24"/>
                <w:szCs w:val="24"/>
              </w:rPr>
              <w:t xml:space="preserve">-20°C to+60°C</w:t>
            </w:r>
          </w:p>
        </w:tc>
      </w:tr>
      <w:tr w14:paraId="29151B74">
        <w:trPr>
          <w:trHeight w:val="567" w:hRule="atLeast"/>
          <w:jc w:val="center"/>
        </w:trPr>
        <w:tc>
          <w:tcPr>
            <w:tcW w:w="2938" w:type="dxa"/>
            <w:vAlign w:val="center"/>
          </w:tcPr>
          <w:p w14:paraId="0F34AF81">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Storage temperature</w:t>
            </w:r>
          </w:p>
        </w:tc>
        <w:tc>
          <w:tcPr>
            <w:tcW w:w="4527" w:type="dxa"/>
            <w:vAlign w:val="center"/>
          </w:tcPr>
          <w:p w14:paraId="542DA6B6">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color w:val="000000"/>
                <w:kern w:val="0"/>
                <w:sz w:val="24"/>
                <w:szCs w:val="24"/>
              </w:rPr>
              <w:t xml:space="preserve">-20°C to+70°C</w:t>
            </w:r>
          </w:p>
        </w:tc>
      </w:tr>
      <w:tr w14:paraId="0166C37E">
        <w:trPr>
          <w:trHeight w:val="567" w:hRule="atLeast"/>
          <w:jc w:val="center"/>
        </w:trPr>
        <w:tc>
          <w:tcPr>
            <w:tcW w:w="2938" w:type="dxa"/>
            <w:vAlign w:val="center"/>
          </w:tcPr>
          <w:p w14:paraId="0C8C31B5">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sensor</w:t>
            </w:r>
          </w:p>
        </w:tc>
        <w:tc>
          <w:tcPr>
            <w:tcW w:w="4527" w:type="dxa"/>
            <w:vAlign w:val="center"/>
          </w:tcPr>
          <w:p w14:paraId="13F0D1A1">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color w:val="000000"/>
                <w:kern w:val="0"/>
                <w:sz w:val="24"/>
                <w:szCs w:val="24"/>
              </w:rPr>
              <w:t xml:space="preserve">Precision vibration sensor</w:t>
            </w:r>
          </w:p>
        </w:tc>
      </w:tr>
      <w:tr w14:paraId="6802698B">
        <w:trPr>
          <w:trHeight w:val="567" w:hRule="atLeast"/>
          <w:jc w:val="center"/>
        </w:trPr>
        <w:tc>
          <w:tcPr>
            <w:tcW w:w="2938" w:type="dxa"/>
            <w:vAlign w:val="center"/>
          </w:tcPr>
          <w:p w14:paraId="34836B33">
            <w:pPr>
              <w:jc w:val="both"/>
              <w:rPr>
                <w:rFonts w:hint="eastAsia" w:ascii="华康黑体W3(P)" w:hAnsi="华康黑体W3(P)" w:eastAsia="华康黑体W3(P)" w:cs="华康黑体W3(P)"/>
                <w:sz w:val="24"/>
                <w:szCs w:val="24"/>
              </w:rPr>
            </w:pPr>
          </w:p>
          <w:p w14:paraId="769C6E12">
            <w:pPr>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frequency band</w:t>
            </w:r>
          </w:p>
        </w:tc>
        <w:tc>
          <w:tcPr>
            <w:tcW w:w="4527" w:type="dxa"/>
            <w:vAlign w:val="center"/>
          </w:tcPr>
          <w:p w14:paraId="15E2D3C7">
            <w:pPr>
              <w:keepNext w:val="0"/>
              <w:keepLines w:val="0"/>
              <w:pageBreakBefore w:val="0"/>
              <w:widowControl w:val="0"/>
              <w:kinsoku/>
              <w:wordWrap/>
              <w:overflowPunct/>
              <w:topLinePunct w:val="0"/>
              <w:autoSpaceDE/>
              <w:autoSpaceDN/>
              <w:bidi w:val="0"/>
              <w:adjustRightInd/>
              <w:snapToGrid/>
              <w:spacing w:line="220" w:lineRule="auto"/>
              <w:ind w:left="0" w:leftChars="0" w:right="0" w:rightChars="0" w:firstLine="0" w:firstLineChars="0"/>
              <w:jc w:val="center"/>
              <w:textAlignment w:val="auto"/>
              <w:rPr>
                <w:rFonts w:hint="eastAsia" w:ascii="华康黑体W3(P)" w:hAnsi="华康黑体W3(P)" w:eastAsia="华康黑体W3(P)" w:cs="华康黑体W3(P)"/>
                <w:sz w:val="21"/>
                <w:szCs w:val="21"/>
                <w:lang w:val="en-US" w:eastAsia="zh-CN"/>
              </w:rPr>
            </w:pPr>
            <w:r>
              <w:rPr>
                <w:rFonts w:ascii="Times New Roman" w:hAnsi="Times New Roman" w:eastAsia="Times New Roman" w:cs="Times New Roman"/>
                <w:sz w:val="21"/>
                <w:szCs w:val="21"/>
                <w:lang w:val="en-US" w:eastAsia="zh-CN"/>
              </w:rPr>
              <w:t xml:space="preserve">LTE-FDD:B1/B2/B3/B4/B5/B7/B8/B28/B66</w:t>
            </w:r>
          </w:p>
          <w:p w14:paraId="28770308">
            <w:pPr>
              <w:keepNext w:val="0"/>
              <w:keepLines w:val="0"/>
              <w:pageBreakBefore w:val="0"/>
              <w:widowControl w:val="0"/>
              <w:kinsoku/>
              <w:wordWrap/>
              <w:overflowPunct/>
              <w:topLinePunct w:val="0"/>
              <w:autoSpaceDE/>
              <w:autoSpaceDN/>
              <w:bidi w:val="0"/>
              <w:adjustRightInd/>
              <w:snapToGrid/>
              <w:spacing w:line="220" w:lineRule="auto"/>
              <w:ind w:left="0" w:leftChars="0" w:right="0" w:rightChars="0" w:firstLine="0" w:firstLineChars="0"/>
              <w:jc w:val="center"/>
              <w:textAlignment w:val="auto"/>
              <w:rPr>
                <w:rFonts w:hint="eastAsia" w:ascii="华康黑体W3(P)" w:hAnsi="华康黑体W3(P)" w:eastAsia="华康黑体W3(P)" w:cs="华康黑体W3(P)"/>
                <w:sz w:val="24"/>
                <w:szCs w:val="24"/>
              </w:rPr>
            </w:pPr>
            <w:r>
              <w:rPr>
                <w:rFonts w:ascii="Times New Roman" w:hAnsi="Times New Roman" w:eastAsia="Times New Roman" w:cs="Times New Roman"/>
                <w:sz w:val="21"/>
                <w:szCs w:val="21"/>
                <w:lang w:val="en-US" w:eastAsia="zh-CN"/>
              </w:rPr>
              <w:t xml:space="preserve">GSM/GPRS/EDGE 850/900/1800/1900MHZ</w:t>
            </w:r>
          </w:p>
        </w:tc>
      </w:tr>
      <w:tr w14:paraId="28EC346C">
        <w:trPr>
          <w:trHeight w:val="567" w:hRule="atLeast"/>
          <w:jc w:val="center"/>
        </w:trPr>
        <w:tc>
          <w:tcPr>
            <w:tcW w:w="2938" w:type="dxa"/>
            <w:vAlign w:val="center"/>
          </w:tcPr>
          <w:p w14:paraId="46C2595E">
            <w:pPr>
              <w:ind w:left="-28" w:leftChars="0"/>
              <w:jc w:val="center"/>
              <w:rPr>
                <w:rFonts w:hint="eastAsia" w:ascii="华康黑体W3(P)" w:hAnsi="华康黑体W3(P)" w:eastAsia="华康黑体W3(P)" w:cs="华康黑体W3(P)"/>
                <w:color w:val="000000" w:themeColor="text1"/>
                <w:sz w:val="24"/>
                <w:szCs w:val="24"/>
                <w:lang w:val="en-US" w:eastAsia="zh-CN"/>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Communication module brand/chip model</w:t>
            </w:r>
          </w:p>
        </w:tc>
        <w:tc>
          <w:tcPr>
            <w:tcW w:w="4527" w:type="dxa"/>
            <w:vAlign w:val="center"/>
          </w:tcPr>
          <w:p w14:paraId="781B4538">
            <w:pPr>
              <w:ind w:left="-28" w:leftChars="0"/>
              <w:jc w:val="center"/>
              <w:rPr>
                <w:rFonts w:hint="default" w:ascii="华康黑体W3(P)" w:hAnsi="华康黑体W3(P)" w:eastAsia="华康黑体W3(P)" w:cs="华康黑体W3(P)"/>
                <w:color w:val="000000" w:themeColor="text1"/>
                <w:sz w:val="24"/>
                <w:szCs w:val="24"/>
                <w:lang w:val="en-US" w:eastAsia="zh-CN"/>
                <w14:textFill>
                  <w14:solidFill>
                    <w14:schemeClr w14:val="tx1"/>
                  </w14:solidFill>
                </w14:textFill>
              </w:rPr>
              <w:spacing/>
            </w:pPr>
            <w:r>
              <w:rPr>
                <w:rFonts w:ascii="Times New Roman" w:hAnsi="Times New Roman" w:eastAsia="Times New Roman" w:cs="Times New Roman"/>
                <w:color w:val="000000" w:themeColor="text1"/>
                <w:sz w:val="24"/>
                <w:szCs w:val="24"/>
                <w:lang w:val="en-US" w:eastAsia="zh-CN"/>
                <w14:textFill>
                  <w14:solidFill>
                    <w14:schemeClr w14:val="tx1"/>
                  </w14:solidFill>
                </w14:textFill>
              </w:rPr>
              <w:t xml:space="preserve">SIMcom A7070SA</w:t>
            </w:r>
          </w:p>
        </w:tc>
      </w:tr>
      <w:tr w14:paraId="6883589A">
        <w:trPr>
          <w:trHeight w:val="567" w:hRule="atLeast"/>
          <w:jc w:val="center"/>
        </w:trPr>
        <w:tc>
          <w:tcPr>
            <w:tcW w:w="2938" w:type="dxa"/>
            <w:vAlign w:val="center"/>
          </w:tcPr>
          <w:p w14:paraId="4E9127C3">
            <w:pPr>
              <w:ind w:left="-28" w:leftChars="0"/>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root mean square error</w:t>
            </w:r>
          </w:p>
        </w:tc>
        <w:tc>
          <w:tcPr>
            <w:tcW w:w="4527" w:type="dxa"/>
            <w:vAlign w:val="center"/>
          </w:tcPr>
          <w:p w14:paraId="7EAAD49C">
            <w:pPr>
              <w:ind w:left="-28" w:leftChars="0"/>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S degree</w:t>
            </w:r>
          </w:p>
        </w:tc>
      </w:tr>
      <w:tr w14:paraId="05432654">
        <w:trPr>
          <w:trHeight w:val="567" w:hRule="atLeast"/>
          <w:jc w:val="center"/>
        </w:trPr>
        <w:tc>
          <w:tcPr>
            <w:tcW w:w="2938" w:type="dxa"/>
            <w:vAlign w:val="center"/>
          </w:tcPr>
          <w:p w14:paraId="3069E13E">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Dynamic output range</w:t>
            </w:r>
          </w:p>
        </w:tc>
        <w:tc>
          <w:tcPr>
            <w:tcW w:w="4527" w:type="dxa"/>
            <w:vAlign w:val="center"/>
          </w:tcPr>
          <w:p w14:paraId="5B33D566">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-15~-108dbm</w:t>
            </w:r>
          </w:p>
        </w:tc>
      </w:tr>
      <w:tr w14:paraId="79752D57">
        <w:trPr>
          <w:trHeight w:val="567" w:hRule="atLeast"/>
          <w:jc w:val="center"/>
        </w:trPr>
        <w:tc>
          <w:tcPr>
            <w:tcW w:w="2938" w:type="dxa"/>
            <w:vAlign w:val="center"/>
          </w:tcPr>
          <w:p w14:paraId="11AB2E24">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reception sensitivity</w:t>
            </w:r>
          </w:p>
        </w:tc>
        <w:tc>
          <w:tcPr>
            <w:tcW w:w="4527" w:type="dxa"/>
            <w:vAlign w:val="center"/>
          </w:tcPr>
          <w:p w14:paraId="1A278CD9">
            <w:pPr>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-107dbm</w:t>
            </w:r>
          </w:p>
        </w:tc>
      </w:tr>
      <w:tr w14:paraId="143BB6B5">
        <w:trPr>
          <w:trHeight w:val="567" w:hRule="atLeast"/>
          <w:jc w:val="center"/>
        </w:trPr>
        <w:tc>
          <w:tcPr>
            <w:tcW w:w="2938" w:type="dxa"/>
            <w:vAlign w:val="center"/>
          </w:tcPr>
          <w:p w14:paraId="1803B379">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Maximum frequency error</w:t>
            </w:r>
          </w:p>
        </w:tc>
        <w:tc>
          <w:tcPr>
            <w:tcW w:w="4527" w:type="dxa"/>
            <w:vAlign w:val="center"/>
          </w:tcPr>
          <w:p w14:paraId="7F10BAE3">
            <w:pPr>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±0.1ppm</w:t>
            </w:r>
          </w:p>
        </w:tc>
      </w:tr>
      <w:tr w14:paraId="21D791D3">
        <w:trPr>
          <w:trHeight w:val="567" w:hRule="atLeast"/>
          <w:jc w:val="center"/>
        </w:trPr>
        <w:tc>
          <w:tcPr>
            <w:tcW w:w="2938" w:type="dxa"/>
            <w:vAlign w:val="center"/>
          </w:tcPr>
          <w:p w14:paraId="7A5C40B0">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sensitivity</w:t>
            </w:r>
          </w:p>
        </w:tc>
        <w:tc>
          <w:tcPr>
            <w:tcW w:w="4527" w:type="dxa"/>
            <w:vAlign w:val="center"/>
          </w:tcPr>
          <w:p w14:paraId="69EAFA4C">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Cold start: -147 dbm</w:t>
            </w:r>
          </w:p>
          <w:p w14:paraId="28429BBD">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Hot start: -155 dbm</w:t>
            </w:r>
          </w:p>
          <w:p w14:paraId="514B1599">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lang w:eastAsia="zh-CN"/>
              </w:rPr>
              <w:t xml:space="preserve">Reacquisition: -158 dbm</w:t>
            </w:r>
          </w:p>
          <w:p w14:paraId="5FBFA88C">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lang w:eastAsia="zh-CN"/>
              </w:rPr>
              <w:t xml:space="preserve">Tracking: -160 dbm</w:t>
            </w:r>
          </w:p>
        </w:tc>
      </w:tr>
      <w:tr w14:paraId="00FD198D">
        <w:trPr>
          <w:trHeight w:val="567" w:hRule="atLeast"/>
          <w:jc w:val="center"/>
        </w:trPr>
        <w:tc>
          <w:tcPr>
            <w:tcW w:w="2938" w:type="dxa"/>
            <w:vAlign w:val="center"/>
          </w:tcPr>
          <w:p w14:paraId="17D22EDA">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positioning accuracy</w:t>
            </w:r>
          </w:p>
        </w:tc>
        <w:tc>
          <w:tcPr>
            <w:tcW w:w="4527" w:type="dxa"/>
            <w:vAlign w:val="center"/>
          </w:tcPr>
          <w:p w14:paraId="51C1C3FC">
            <w:pPr>
              <w:ind w:left="-28"/>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＜5m</w:t>
            </w:r>
          </w:p>
        </w:tc>
      </w:tr>
      <w:tr w14:paraId="50F3FF65">
        <w:trPr>
          <w:trHeight w:val="567" w:hRule="atLeast"/>
          <w:jc w:val="center"/>
        </w:trPr>
        <w:tc>
          <w:tcPr>
            <w:tcW w:w="2938" w:type="dxa"/>
            <w:vAlign w:val="center"/>
          </w:tcPr>
          <w:p w14:paraId="5B1F2469">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First positioning time</w:t>
            </w:r>
          </w:p>
        </w:tc>
        <w:tc>
          <w:tcPr>
            <w:tcW w:w="4527" w:type="dxa"/>
            <w:vAlign w:val="center"/>
          </w:tcPr>
          <w:p w14:paraId="0DE84443">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Cold start: average 32 seconds</w:t>
            </w:r>
          </w:p>
        </w:tc>
      </w:tr>
      <w:tr w14:paraId="58232BEA">
        <w:trPr>
          <w:trHeight w:val="567" w:hRule="atLeast"/>
          <w:jc w:val="center"/>
        </w:trPr>
        <w:tc>
          <w:tcPr>
            <w:tcW w:w="2938" w:type="dxa"/>
            <w:vAlign w:val="center"/>
          </w:tcPr>
          <w:p w14:paraId="0C9B2C48">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lang w:val="en-US" w:eastAsia="zh-CN"/>
              </w:rPr>
              <w:t xml:space="preserve">LTE 4G antenna</w:t>
            </w:r>
          </w:p>
        </w:tc>
        <w:tc>
          <w:tcPr>
            <w:tcW w:w="4527" w:type="dxa"/>
            <w:vAlign w:val="center"/>
          </w:tcPr>
          <w:p w14:paraId="19CF6971">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built-in</w:t>
            </w:r>
          </w:p>
        </w:tc>
      </w:tr>
      <w:tr w14:paraId="53914FEA">
        <w:trPr>
          <w:trHeight w:val="567" w:hRule="atLeast"/>
          <w:jc w:val="center"/>
        </w:trPr>
        <w:tc>
          <w:tcPr>
            <w:tcW w:w="2938" w:type="dxa"/>
            <w:vAlign w:val="center"/>
          </w:tcPr>
          <w:p w14:paraId="09704E74">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GPS antenna</w:t>
            </w:r>
          </w:p>
        </w:tc>
        <w:tc>
          <w:tcPr>
            <w:tcW w:w="4527" w:type="dxa"/>
            <w:vAlign w:val="center"/>
          </w:tcPr>
          <w:p w14:paraId="1976871C">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built-in</w:t>
            </w:r>
          </w:p>
        </w:tc>
      </w:tr>
      <w:tr w14:paraId="4F311796">
        <w:trPr>
          <w:trHeight w:val="567" w:hRule="atLeast"/>
          <w:jc w:val="center"/>
        </w:trPr>
        <w:tc>
          <w:tcPr>
            <w:tcW w:w="2938" w:type="dxa"/>
            <w:vAlign w:val="center"/>
          </w:tcPr>
          <w:p w14:paraId="58FCE9E2">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LED indicator light</w:t>
            </w:r>
          </w:p>
        </w:tc>
        <w:tc>
          <w:tcPr>
            <w:tcW w:w="4527" w:type="dxa"/>
            <w:vAlign w:val="center"/>
          </w:tcPr>
          <w:p w14:paraId="1F7BBBB1">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Power supply, indicating status</w:t>
            </w:r>
          </w:p>
        </w:tc>
      </w:tr>
      <w:tr w14:paraId="7DB60906">
        <w:trPr>
          <w:trHeight w:val="567" w:hRule="atLeast"/>
          <w:jc w:val="center"/>
        </w:trPr>
        <w:tc>
          <w:tcPr>
            <w:tcW w:w="2938" w:type="dxa"/>
            <w:vAlign w:val="center"/>
          </w:tcPr>
          <w:p w14:paraId="15F2FC40">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transmission protocol</w:t>
            </w:r>
          </w:p>
        </w:tc>
        <w:tc>
          <w:tcPr>
            <w:tcW w:w="4527" w:type="dxa"/>
            <w:vAlign w:val="center"/>
          </w:tcPr>
          <w:p w14:paraId="089C660D">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TCP</w:t>
            </w:r>
          </w:p>
        </w:tc>
      </w:tr>
      <w:tr w14:paraId="67BC7180">
        <w:trPr>
          <w:trHeight w:val="567" w:hRule="atLeast"/>
          <w:jc w:val="center"/>
        </w:trPr>
        <w:tc>
          <w:tcPr>
            <w:tcW w:w="2938" w:type="dxa"/>
            <w:vAlign w:val="center"/>
          </w:tcPr>
          <w:p w14:paraId="30C7BA76">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Power detection</w:t>
            </w:r>
          </w:p>
        </w:tc>
        <w:tc>
          <w:tcPr>
            <w:tcW w:w="4527" w:type="dxa"/>
            <w:vAlign w:val="center"/>
          </w:tcPr>
          <w:p w14:paraId="556E6A77">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The indicator light is on when powered on</w:t>
            </w:r>
          </w:p>
        </w:tc>
      </w:tr>
      <w:tr w14:paraId="30833A6A">
        <w:trPr>
          <w:trHeight w:val="567" w:hRule="atLeast"/>
          <w:jc w:val="center"/>
        </w:trPr>
        <w:tc>
          <w:tcPr>
            <w:tcW w:w="2938" w:type="dxa"/>
            <w:vAlign w:val="center"/>
          </w:tcPr>
          <w:p w14:paraId="714A3CE8">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data reporting</w:t>
            </w:r>
          </w:p>
        </w:tc>
        <w:tc>
          <w:tcPr>
            <w:tcW w:w="4527" w:type="dxa"/>
            <w:vAlign w:val="center"/>
          </w:tcPr>
          <w:p w14:paraId="247D2591">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Update GPS data in real-time and support customer customization</w:t>
            </w:r>
          </w:p>
        </w:tc>
      </w:tr>
      <w:tr w14:paraId="0C9DCE38">
        <w:trPr>
          <w:trHeight w:val="567" w:hRule="atLeast"/>
          <w:jc w:val="center"/>
        </w:trPr>
        <w:tc>
          <w:tcPr>
            <w:tcW w:w="2938" w:type="dxa"/>
            <w:vAlign w:val="center"/>
          </w:tcPr>
          <w:p w14:paraId="4E40AE97">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electronic fence</w:t>
            </w:r>
          </w:p>
        </w:tc>
        <w:tc>
          <w:tcPr>
            <w:tcW w:w="4527" w:type="dxa"/>
            <w:vAlign w:val="center"/>
          </w:tcPr>
          <w:p w14:paraId="74C512A0">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TBD</w:t>
            </w:r>
          </w:p>
        </w:tc>
      </w:tr>
      <w:tr w14:paraId="3A4956B7">
        <w:trPr>
          <w:trHeight w:val="567" w:hRule="atLeast"/>
          <w:jc w:val="center"/>
        </w:trPr>
        <w:tc>
          <w:tcPr>
            <w:tcW w:w="2938" w:type="dxa"/>
            <w:vAlign w:val="center"/>
          </w:tcPr>
          <w:p w14:paraId="38FCBE7B">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Driving behavior detection</w:t>
            </w:r>
          </w:p>
        </w:tc>
        <w:tc>
          <w:tcPr>
            <w:tcW w:w="4527" w:type="dxa"/>
            <w:vAlign w:val="center"/>
          </w:tcPr>
          <w:p w14:paraId="72A6BBD8">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If the vehicle's driving speed exceeds the set speed, upload an overspeed alarm</w:t>
            </w:r>
          </w:p>
        </w:tc>
      </w:tr>
      <w:tr w14:paraId="2D6EC987">
        <w:trPr>
          <w:trHeight w:val="567" w:hRule="atLeast"/>
          <w:jc w:val="center"/>
        </w:trPr>
        <w:tc>
          <w:tcPr>
            <w:tcW w:w="2938" w:type="dxa"/>
            <w:vAlign w:val="center"/>
          </w:tcPr>
          <w:p w14:paraId="0E3193C8">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GPS data</w:t>
            </w:r>
          </w:p>
        </w:tc>
        <w:tc>
          <w:tcPr>
            <w:tcW w:w="4527" w:type="dxa"/>
            <w:vAlign w:val="center"/>
          </w:tcPr>
          <w:p w14:paraId="25438C4D">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Real-time location update</w:t>
            </w:r>
          </w:p>
        </w:tc>
      </w:tr>
      <w:tr w14:paraId="2FC89A87">
        <w:trPr>
          <w:trHeight w:val="567" w:hRule="atLeast"/>
          <w:jc w:val="center"/>
        </w:trPr>
        <w:tc>
          <w:tcPr>
            <w:tcW w:w="2938" w:type="dxa"/>
            <w:vAlign w:val="center"/>
          </w:tcPr>
          <w:p w14:paraId="6281A815">
            <w:pPr>
              <w:ind w:left="-28"/>
              <w:jc w:val="center"/>
              <w:rPr>
                <w:rFonts w:hint="eastAsia" w:ascii="华康黑体W3(P)" w:hAnsi="华康黑体W3(P)" w:eastAsia="华康黑体W3(P)" w:cs="华康黑体W3(P)"/>
                <w:color w:val="000000"/>
                <w:sz w:val="24"/>
                <w:szCs w:val="24"/>
              </w:rPr>
              <w:spacing/>
            </w:pPr>
            <w:r>
              <w:rPr>
                <w:rFonts w:ascii="Times New Roman" w:hAnsi="Times New Roman" w:eastAsia="Times New Roman" w:cs="Times New Roman"/>
                <w:color w:val="000000"/>
                <w:sz w:val="24"/>
                <w:szCs w:val="24"/>
              </w:rPr>
              <w:t xml:space="preserve">Vibration alarm</w:t>
            </w:r>
          </w:p>
        </w:tc>
        <w:tc>
          <w:tcPr>
            <w:tcW w:w="4527" w:type="dxa"/>
            <w:vAlign w:val="center"/>
          </w:tcPr>
          <w:p w14:paraId="291C8F42">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spacing/>
            </w:pPr>
            <w:r>
              <w:rPr>
                <w:rFonts w:ascii="Times New Roman" w:hAnsi="Times New Roman" w:eastAsia="Times New Roman" w:cs="Times New Roman"/>
                <w:color w:val="000000" w:themeColor="text1"/>
                <w:sz w:val="24"/>
                <w:szCs w:val="24"/>
                <w14:textFill>
                  <w14:solidFill>
                    <w14:schemeClr w14:val="tx1"/>
                  </w14:solidFill>
                </w14:textFill>
              </w:rPr>
              <w:t xml:space="preserve">Reporting vehicle vibration in a secured state</w:t>
            </w:r>
          </w:p>
        </w:tc>
      </w:tr>
    </w:tbl>
    <w:p w14:paraId="1BA9E676">
      <w:pPr>
        <w:pStyle w:val="2"/>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rPr>
        <w:t xml:space="preserve">IV. Basic functions of the product</w:t>
      </w:r>
    </w:p>
    <w:tbl>
      <w:tblPr>
        <w:tblStyle w:val="7"/>
        <w:tblW w:w="8594"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6"/>
        <w:gridCol w:w="2467"/>
        <w:gridCol w:w="4073"/>
      </w:tblGrid>
      <w:tr w14:paraId="7699C092">
        <w:trPr>
          <w:trHeight w:val="680" w:hRule="atLeast"/>
        </w:trPr>
        <w:tc>
          <w:tcPr>
            <w:tcW w:w="2054" w:type="dxa"/>
            <w:gridSpan w:val="2"/>
            <w:vAlign w:val="center"/>
          </w:tcPr>
          <w:p w14:paraId="16893C4F">
            <w:pPr>
              <w:ind w:left="-53"/>
              <w:jc w:val="center"/>
              <w:rPr>
                <w:rFonts w:hint="eastAsia" w:ascii="华康黑体W3(P)" w:hAnsi="华康黑体W3(P)" w:eastAsia="华康黑体W3(P)" w:cs="华康黑体W3(P)"/>
                <w:b/>
                <w:sz w:val="24"/>
                <w:szCs w:val="24"/>
              </w:rPr>
              <w:spacing/>
            </w:pPr>
            <w:r>
              <w:rPr>
                <w:rFonts w:ascii="Times New Roman" w:hAnsi="Times New Roman" w:eastAsia="Times New Roman" w:cs="Times New Roman"/>
                <w:b/>
                <w:sz w:val="24"/>
                <w:szCs w:val="24"/>
              </w:rPr>
              <w:t xml:space="preserve">content</w:t>
            </w:r>
          </w:p>
        </w:tc>
        <w:tc>
          <w:tcPr>
            <w:tcW w:w="2467" w:type="dxa"/>
            <w:vAlign w:val="center"/>
          </w:tcPr>
          <w:p w14:paraId="520E7F50">
            <w:pPr>
              <w:ind w:left="-53"/>
              <w:jc w:val="center"/>
              <w:rPr>
                <w:rFonts w:hint="eastAsia" w:ascii="华康黑体W3(P)" w:hAnsi="华康黑体W3(P)" w:eastAsia="华康黑体W3(P)" w:cs="华康黑体W3(P)"/>
                <w:b/>
                <w:sz w:val="24"/>
                <w:szCs w:val="24"/>
              </w:rPr>
              <w:spacing/>
            </w:pPr>
            <w:r>
              <w:rPr>
                <w:rFonts w:ascii="Times New Roman" w:hAnsi="Times New Roman" w:eastAsia="Times New Roman" w:cs="Times New Roman"/>
                <w:b/>
                <w:sz w:val="24"/>
                <w:szCs w:val="24"/>
              </w:rPr>
              <w:t xml:space="preserve">function</w:t>
            </w:r>
          </w:p>
        </w:tc>
        <w:tc>
          <w:tcPr>
            <w:tcW w:w="4073" w:type="dxa"/>
            <w:vAlign w:val="center"/>
          </w:tcPr>
          <w:p w14:paraId="604BCDF6">
            <w:pPr>
              <w:ind w:left="-53"/>
              <w:jc w:val="center"/>
              <w:rPr>
                <w:rFonts w:hint="eastAsia" w:ascii="华康黑体W3(P)" w:hAnsi="华康黑体W3(P)" w:eastAsia="华康黑体W3(P)" w:cs="华康黑体W3(P)"/>
                <w:b/>
                <w:sz w:val="24"/>
                <w:szCs w:val="24"/>
              </w:rPr>
              <w:spacing/>
            </w:pPr>
            <w:r>
              <w:rPr>
                <w:rFonts w:ascii="Times New Roman" w:hAnsi="Times New Roman" w:eastAsia="Times New Roman" w:cs="Times New Roman"/>
                <w:b/>
                <w:sz w:val="24"/>
                <w:szCs w:val="24"/>
              </w:rPr>
              <w:t xml:space="preserve">Instructions</w:t>
            </w:r>
          </w:p>
        </w:tc>
      </w:tr>
      <w:tr w14:paraId="7C848898">
        <w:trPr>
          <w:trHeight w:val="680" w:hRule="atLeast"/>
        </w:trPr>
        <w:tc>
          <w:tcPr>
            <w:tcW w:w="2048" w:type="dxa"/>
            <w:vMerge w:val="restart"/>
            <w:tcBorders>
              <w:bottom w:val="single" w:color="auto" w:sz="4" w:space="0"/>
            </w:tcBorders>
            <w:vAlign w:val="center"/>
          </w:tcPr>
          <w:p w14:paraId="3022368A">
            <w:pPr>
              <w:ind w:left="-53"/>
              <w:jc w:val="center"/>
              <w:rPr>
                <w:rFonts w:hint="eastAsia" w:ascii="华康黑体W3(P)" w:hAnsi="华康黑体W3(P)" w:eastAsia="华康黑体W3(P)" w:cs="华康黑体W3(P)"/>
                <w:b/>
                <w:sz w:val="24"/>
                <w:szCs w:val="24"/>
              </w:rPr>
              <w:spacing/>
            </w:pPr>
            <w:r>
              <w:rPr>
                <w:rFonts w:ascii="Times New Roman" w:hAnsi="Times New Roman" w:eastAsia="Times New Roman" w:cs="Times New Roman"/>
                <w:b/>
                <w:sz w:val="24"/>
                <w:szCs w:val="24"/>
              </w:rPr>
              <w:t xml:space="preserve">positioning function</w:t>
            </w:r>
          </w:p>
        </w:tc>
        <w:tc>
          <w:tcPr>
            <w:tcW w:w="2473" w:type="dxa"/>
            <w:gridSpan w:val="2"/>
            <w:tcBorders>
              <w:bottom w:val="single" w:color="auto" w:sz="4" w:space="0"/>
            </w:tcBorders>
            <w:vAlign w:val="center"/>
          </w:tcPr>
          <w:p w14:paraId="136129F8">
            <w:pPr>
              <w:ind w:left="-53"/>
              <w:jc w:val="center"/>
              <w:rPr>
                <w:rFonts w:hint="eastAsia" w:ascii="华康黑体W3(P)" w:hAnsi="华康黑体W3(P)" w:eastAsia="华康黑体W3(P)" w:cs="华康黑体W3(P)"/>
                <w:sz w:val="24"/>
                <w:szCs w:val="24"/>
              </w:rPr>
              <w:spacing/>
            </w:pPr>
            <w:r>
              <w:rPr>
                <w:rFonts w:ascii="Times New Roman" w:hAnsi="Times New Roman" w:eastAsia="Times New Roman" w:cs="Times New Roman"/>
                <w:color w:val="000000"/>
                <w:kern w:val="0"/>
                <w:sz w:val="24"/>
                <w:szCs w:val="24"/>
              </w:rPr>
              <w:t xml:space="preserve">Regular tracking</w:t>
            </w:r>
          </w:p>
        </w:tc>
        <w:tc>
          <w:tcPr>
            <w:tcW w:w="4073" w:type="dxa"/>
            <w:tcBorders>
              <w:bottom w:val="single" w:color="auto" w:sz="4" w:space="0"/>
            </w:tcBorders>
          </w:tcPr>
          <w:p w14:paraId="58E7589E">
            <w:pPr>
              <w:ind w:left="-53"/>
              <w:rPr>
                <w:rFonts w:hint="eastAsia" w:ascii="华康黑体W3(P)" w:hAnsi="华康黑体W3(P)" w:eastAsia="华康黑体W3(P)" w:cs="华康黑体W3(P)"/>
                <w:sz w:val="24"/>
                <w:szCs w:val="24"/>
              </w:rPr>
              <w:spacing/>
            </w:pPr>
            <w:r>
              <w:rPr>
                <w:rFonts w:ascii="Times New Roman" w:hAnsi="Times New Roman" w:eastAsia="Times New Roman" w:cs="Times New Roman"/>
                <w:color w:val="000000"/>
                <w:kern w:val="0"/>
                <w:sz w:val="24"/>
                <w:szCs w:val="24"/>
              </w:rPr>
              <w:t xml:space="preserve">Return positioning information such as longitude and latitude at set intervals.</w:t>
            </w:r>
          </w:p>
        </w:tc>
      </w:tr>
      <w:tr w14:paraId="726F8CF2">
        <w:trPr>
          <w:trHeight w:val="680" w:hRule="atLeast"/>
        </w:trPr>
        <w:tc>
          <w:tcPr>
            <w:tcW w:w="2048" w:type="dxa"/>
            <w:vMerge w:val="continue"/>
            <w:vAlign w:val="center"/>
          </w:tcPr>
          <w:p w14:paraId="1B396A08">
            <w:pPr>
              <w:ind w:left="-53"/>
              <w:jc w:val="center"/>
              <w:rPr>
                <w:rFonts w:hint="eastAsia" w:ascii="华康黑体W3(P)" w:hAnsi="华康黑体W3(P)" w:eastAsia="华康黑体W3(P)" w:cs="华康黑体W3(P)"/>
                <w:sz w:val="24"/>
                <w:szCs w:val="24"/>
              </w:rPr>
            </w:pPr>
          </w:p>
        </w:tc>
        <w:tc>
          <w:tcPr>
            <w:tcW w:w="2473" w:type="dxa"/>
            <w:gridSpan w:val="2"/>
            <w:vAlign w:val="center"/>
          </w:tcPr>
          <w:p w14:paraId="152B5166">
            <w:pPr>
              <w:ind w:left="-53"/>
              <w:jc w:val="center"/>
              <w:rPr>
                <w:rFonts w:hint="eastAsia" w:ascii="华康黑体W3(P)" w:hAnsi="华康黑体W3(P)" w:eastAsia="华康黑体W3(P)" w:cs="华康黑体W3(P)"/>
                <w:sz w:val="24"/>
                <w:szCs w:val="24"/>
              </w:rPr>
              <w:spacing/>
            </w:pPr>
            <w:r>
              <w:rPr>
                <w:rFonts w:ascii="Times New Roman" w:hAnsi="Times New Roman" w:eastAsia="Times New Roman" w:cs="Times New Roman"/>
                <w:color w:val="000000"/>
                <w:kern w:val="0"/>
                <w:sz w:val="24"/>
                <w:szCs w:val="24"/>
              </w:rPr>
              <w:t xml:space="preserve">Overspeed alarm</w:t>
            </w:r>
          </w:p>
        </w:tc>
        <w:tc>
          <w:tcPr>
            <w:tcW w:w="4073" w:type="dxa"/>
          </w:tcPr>
          <w:p w14:paraId="5C50430A">
            <w:pPr>
              <w:ind w:left="-53"/>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When driving over the speed limit, the GPS tracker will send an alert to your phone</w:t>
            </w:r>
          </w:p>
        </w:tc>
      </w:tr>
      <w:tr w14:paraId="46FD5923">
        <w:trPr>
          <w:trHeight w:val="680" w:hRule="atLeast"/>
        </w:trPr>
        <w:tc>
          <w:tcPr>
            <w:tcW w:w="2048" w:type="dxa"/>
            <w:vMerge w:val="continue"/>
            <w:vAlign w:val="center"/>
          </w:tcPr>
          <w:p w14:paraId="66E2330F">
            <w:pPr>
              <w:ind w:left="-53"/>
              <w:jc w:val="center"/>
              <w:rPr>
                <w:rFonts w:hint="eastAsia" w:ascii="华康黑体W3(P)" w:hAnsi="华康黑体W3(P)" w:eastAsia="华康黑体W3(P)" w:cs="华康黑体W3(P)"/>
                <w:sz w:val="24"/>
                <w:szCs w:val="24"/>
              </w:rPr>
            </w:pPr>
          </w:p>
        </w:tc>
        <w:tc>
          <w:tcPr>
            <w:tcW w:w="2473" w:type="dxa"/>
            <w:gridSpan w:val="2"/>
            <w:vAlign w:val="center"/>
          </w:tcPr>
          <w:p w14:paraId="6B2D717F">
            <w:pPr>
              <w:ind w:left="-53"/>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electronic fence</w:t>
            </w:r>
          </w:p>
        </w:tc>
        <w:tc>
          <w:tcPr>
            <w:tcW w:w="4073" w:type="dxa"/>
          </w:tcPr>
          <w:p w14:paraId="552C9074">
            <w:pPr>
              <w:ind w:left="-53"/>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If the vehicle travels beyond the designated area, an alarm message will be sent to the platform</w:t>
            </w:r>
          </w:p>
        </w:tc>
      </w:tr>
      <w:tr w14:paraId="76531DEE">
        <w:trPr>
          <w:trHeight w:val="680" w:hRule="atLeast"/>
        </w:trPr>
        <w:tc>
          <w:tcPr>
            <w:tcW w:w="2048" w:type="dxa"/>
            <w:vMerge w:val="continue"/>
            <w:vAlign w:val="center"/>
          </w:tcPr>
          <w:p w14:paraId="745FFA1E">
            <w:pPr>
              <w:ind w:left="-53"/>
              <w:jc w:val="center"/>
              <w:rPr>
                <w:rFonts w:hint="eastAsia" w:ascii="华康黑体W3(P)" w:hAnsi="华康黑体W3(P)" w:eastAsia="华康黑体W3(P)" w:cs="华康黑体W3(P)"/>
                <w:sz w:val="24"/>
                <w:szCs w:val="24"/>
              </w:rPr>
            </w:pPr>
          </w:p>
        </w:tc>
        <w:tc>
          <w:tcPr>
            <w:tcW w:w="2473" w:type="dxa"/>
            <w:gridSpan w:val="2"/>
            <w:vAlign w:val="center"/>
          </w:tcPr>
          <w:p w14:paraId="3CF12B43">
            <w:pPr>
              <w:ind w:left="-53"/>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historical trajectory</w:t>
            </w:r>
          </w:p>
        </w:tc>
        <w:tc>
          <w:tcPr>
            <w:tcW w:w="4073" w:type="dxa"/>
          </w:tcPr>
          <w:p w14:paraId="5FDEDFA3">
            <w:pPr>
              <w:ind w:left="-53"/>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It can replay the driving trajectory for 365 days, including the speed, direction, and dwell time at that time</w:t>
            </w:r>
          </w:p>
        </w:tc>
      </w:tr>
      <w:tr w14:paraId="6B181056">
        <w:trPr>
          <w:trHeight w:val="680" w:hRule="atLeast"/>
        </w:trPr>
        <w:tc>
          <w:tcPr>
            <w:tcW w:w="2048" w:type="dxa"/>
            <w:vMerge w:val="continue"/>
            <w:vAlign w:val="center"/>
          </w:tcPr>
          <w:p w14:paraId="0801FCB6">
            <w:pPr>
              <w:ind w:left="-53"/>
              <w:jc w:val="center"/>
              <w:rPr>
                <w:rFonts w:hint="eastAsia" w:ascii="华康黑体W3(P)" w:hAnsi="华康黑体W3(P)" w:eastAsia="华康黑体W3(P)" w:cs="华康黑体W3(P)"/>
                <w:sz w:val="24"/>
                <w:szCs w:val="24"/>
              </w:rPr>
            </w:pPr>
          </w:p>
        </w:tc>
        <w:tc>
          <w:tcPr>
            <w:tcW w:w="2473" w:type="dxa"/>
            <w:gridSpan w:val="2"/>
            <w:vAlign w:val="center"/>
          </w:tcPr>
          <w:p w14:paraId="044A332F">
            <w:pPr>
              <w:ind w:left="-53"/>
              <w:jc w:val="center"/>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Fleet management</w:t>
            </w:r>
          </w:p>
        </w:tc>
        <w:tc>
          <w:tcPr>
            <w:tcW w:w="4073" w:type="dxa"/>
          </w:tcPr>
          <w:p w14:paraId="5182D1F3">
            <w:pPr>
              <w:ind w:left="-53"/>
              <w:rPr>
                <w:rFonts w:hint="eastAsia"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One mobile phone can manage multiple devices, or one device can be managed by multiple mobile phones</w:t>
            </w:r>
          </w:p>
        </w:tc>
      </w:tr>
    </w:tbl>
    <w:p w14:paraId="775E2BE8">
      <w:pPr>
        <w:rPr>
          <w:rFonts w:hint="eastAsia" w:ascii="华康黑体W3(P)" w:hAnsi="华康黑体W3(P)" w:eastAsia="华康黑体W3(P)" w:cs="华康黑体W3(P)"/>
        </w:rPr>
      </w:pPr>
    </w:p>
    <w:p w14:paraId="1745CF75">
      <w:pPr>
        <w:rPr>
          <w:rFonts w:hint="eastAsia" w:ascii="华康黑体W3(P)" w:hAnsi="华康黑体W3(P)" w:eastAsia="华康黑体W3(P)" w:cs="华康黑体W3(P)"/>
          <w:b/>
          <w:sz w:val="32"/>
          <w:szCs w:val="32"/>
          <w:shd w:val="pct10" w:color="auto" w:fill="FFFFFF"/>
        </w:rPr>
      </w:pPr>
    </w:p>
    <w:p w14:paraId="75D50C8D">
      <w:pPr>
        <w:pStyle w:val="2"/>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lang w:eastAsia="zh-CN"/>
        </w:rPr>
        <w:t xml:space="preserve">V. Analysis and troubleshooting of common problems</w:t>
      </w:r>
    </w:p>
    <w:p w14:paraId="236D9320">
      <w:pPr>
        <w:ind w:firstLine="240" w:firstLineChars="100"/>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The product displays a steady yellow and blue light, which indicates normal online positioning. If the lights start flashing, please follow the steps below to analyze and troubleshoot the issue.</w:t>
      </w:r>
    </w:p>
    <w:tbl>
      <w:tblPr>
        <w:tblStyle w:val="7"/>
        <w:tblpPr w:leftFromText="180" w:rightFromText="180" w:vertAnchor="text" w:horzAnchor="margin" w:tblpXSpec="center" w:tblpY="214"/>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3017"/>
        <w:gridCol w:w="3503"/>
      </w:tblGrid>
      <w:tr w14:paraId="0E9FF58F">
        <w:trPr>
          <w:trHeight w:val="680" w:hRule="exact"/>
          <w:jc w:val="center"/>
        </w:trPr>
        <w:tc>
          <w:tcPr>
            <w:tcW w:w="2235" w:type="dxa"/>
            <w:vAlign w:val="center"/>
          </w:tcPr>
          <w:p w14:paraId="1E997372">
            <w:pPr>
              <w:ind w:left="-3"/>
              <w:jc w:val="center"/>
              <w:rPr>
                <w:rFonts w:ascii="华康黑体W3(P)" w:hAnsi="华康黑体W3(P)" w:eastAsia="华康黑体W3(P)" w:cs="华康黑体W3(P)"/>
                <w:sz w:val="24"/>
                <w:szCs w:val="24"/>
              </w:rPr>
              <w:spacing/>
            </w:pPr>
            <w:r>
              <w:rPr>
                <w:rFonts w:ascii="Times New Roman" w:hAnsi="Times New Roman" w:eastAsia="Times New Roman" w:cs="Times New Roman"/>
                <w:b/>
                <w:bCs/>
                <w:sz w:val="24"/>
                <w:szCs w:val="24"/>
              </w:rPr>
              <w:t xml:space="preserve">Fault phenomenon</w:t>
            </w:r>
          </w:p>
        </w:tc>
        <w:tc>
          <w:tcPr>
            <w:tcW w:w="3017" w:type="dxa"/>
            <w:vAlign w:val="center"/>
          </w:tcPr>
          <w:p w14:paraId="61A853BF">
            <w:pPr>
              <w:ind w:left="-3"/>
              <w:jc w:val="center"/>
              <w:rPr>
                <w:rFonts w:ascii="华康黑体W3(P)" w:hAnsi="华康黑体W3(P)" w:eastAsia="华康黑体W3(P)" w:cs="华康黑体W3(P)"/>
                <w:sz w:val="24"/>
                <w:szCs w:val="24"/>
              </w:rPr>
              <w:spacing/>
            </w:pPr>
            <w:r>
              <w:rPr>
                <w:rFonts w:ascii="Times New Roman" w:hAnsi="Times New Roman" w:eastAsia="Times New Roman" w:cs="Times New Roman"/>
                <w:b/>
                <w:bCs/>
                <w:sz w:val="24"/>
                <w:szCs w:val="24"/>
              </w:rPr>
              <w:t xml:space="preserve">Fault Analysis</w:t>
            </w:r>
          </w:p>
        </w:tc>
        <w:tc>
          <w:tcPr>
            <w:tcW w:w="3503" w:type="dxa"/>
            <w:vAlign w:val="center"/>
          </w:tcPr>
          <w:p w14:paraId="343C8C3E">
            <w:pPr>
              <w:ind w:left="-3"/>
              <w:jc w:val="center"/>
              <w:rPr>
                <w:rFonts w:ascii="华康黑体W3(P)" w:hAnsi="华康黑体W3(P)" w:eastAsia="华康黑体W3(P)" w:cs="华康黑体W3(P)"/>
                <w:sz w:val="24"/>
                <w:szCs w:val="24"/>
              </w:rPr>
              <w:spacing/>
            </w:pPr>
            <w:r>
              <w:rPr>
                <w:rFonts w:ascii="Times New Roman" w:hAnsi="Times New Roman" w:eastAsia="Times New Roman" w:cs="Times New Roman"/>
                <w:b/>
                <w:bCs/>
                <w:sz w:val="24"/>
                <w:szCs w:val="24"/>
              </w:rPr>
              <w:t xml:space="preserve">treatment method</w:t>
            </w:r>
          </w:p>
        </w:tc>
      </w:tr>
      <w:tr w14:paraId="2F1E0018">
        <w:trPr>
          <w:trHeight w:val="685" w:hRule="atLeast"/>
          <w:jc w:val="center"/>
        </w:trPr>
        <w:tc>
          <w:tcPr>
            <w:tcW w:w="2235" w:type="dxa"/>
            <w:vMerge w:val="restart"/>
            <w:vAlign w:val="center"/>
          </w:tcPr>
          <w:p w14:paraId="2DB74DD3">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bCs/>
                <w:sz w:val="24"/>
                <w:szCs w:val="24"/>
              </w:rPr>
              <w:t xml:space="preserve">Blue light flashing slowly</w:t>
            </w:r>
          </w:p>
        </w:tc>
        <w:tc>
          <w:tcPr>
            <w:tcW w:w="3017" w:type="dxa"/>
            <w:vAlign w:val="center"/>
          </w:tcPr>
          <w:p w14:paraId="6B438F46">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Check whether the terminal is being used in an area with poor GPS signal, such as near tall buildings or in underground parking lots</w:t>
            </w:r>
          </w:p>
        </w:tc>
        <w:tc>
          <w:tcPr>
            <w:tcW w:w="3503" w:type="dxa"/>
            <w:vAlign w:val="center"/>
          </w:tcPr>
          <w:p w14:paraId="3B987641">
            <w:pPr>
              <w:widowControl/>
              <w:ind w:left="-3"/>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Drive the vehicle to a location with good signal and use the terminal</w:t>
            </w:r>
          </w:p>
        </w:tc>
      </w:tr>
      <w:tr w14:paraId="4546D978">
        <w:trPr>
          <w:trHeight w:val="2838" w:hRule="exact"/>
          <w:jc w:val="center"/>
        </w:trPr>
        <w:tc>
          <w:tcPr>
            <w:tcW w:w="2235" w:type="dxa"/>
            <w:vMerge w:val="continue"/>
            <w:vAlign w:val="center"/>
          </w:tcPr>
          <w:p w14:paraId="15119959">
            <w:pPr>
              <w:widowControl/>
              <w:jc w:val="center"/>
              <w:rPr>
                <w:rFonts w:ascii="华康黑体W3(P)" w:hAnsi="华康黑体W3(P)" w:eastAsia="华康黑体W3(P)" w:cs="华康黑体W3(P)"/>
                <w:bCs/>
                <w:sz w:val="24"/>
                <w:szCs w:val="24"/>
              </w:rPr>
            </w:pPr>
          </w:p>
        </w:tc>
        <w:tc>
          <w:tcPr>
            <w:tcW w:w="3017" w:type="dxa"/>
            <w:vAlign w:val="center"/>
          </w:tcPr>
          <w:p w14:paraId="76ABB7E8">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Determine whether the vehicle's front windshield has a metal heat-resistant film that may affect signal reception</w:t>
            </w:r>
          </w:p>
        </w:tc>
        <w:tc>
          <w:tcPr>
            <w:tcW w:w="3503" w:type="dxa"/>
            <w:vAlign w:val="center"/>
          </w:tcPr>
          <w:p w14:paraId="04C7F1CF">
            <w:pPr>
              <w:widowControl/>
              <w:ind w:left="-3"/>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If there is a tint film, swap the device to another vehicle to test if the blue light stays lit. If the test is successful on another vehicle without a tint film, it indicates that the issue is caused by the tint film on the original vehicle</w:t>
            </w:r>
          </w:p>
        </w:tc>
      </w:tr>
      <w:tr w14:paraId="26C90F05">
        <w:trPr>
          <w:trHeight w:val="1277" w:hRule="exact"/>
          <w:jc w:val="center"/>
        </w:trPr>
        <w:tc>
          <w:tcPr>
            <w:tcW w:w="2235" w:type="dxa"/>
            <w:vMerge w:val="continue"/>
            <w:vAlign w:val="center"/>
          </w:tcPr>
          <w:p w14:paraId="3AA1D09F">
            <w:pPr>
              <w:widowControl/>
              <w:jc w:val="center"/>
              <w:rPr>
                <w:rFonts w:ascii="华康黑体W3(P)" w:hAnsi="华康黑体W3(P)" w:eastAsia="华康黑体W3(P)" w:cs="华康黑体W3(P)"/>
                <w:bCs/>
                <w:sz w:val="24"/>
                <w:szCs w:val="24"/>
              </w:rPr>
            </w:pPr>
          </w:p>
        </w:tc>
        <w:tc>
          <w:tcPr>
            <w:tcW w:w="3017" w:type="dxa"/>
            <w:vAlign w:val="center"/>
          </w:tcPr>
          <w:p w14:paraId="20DB9F89">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Determine whether there is a jammer or signal blocker on the vehicle or in the surrounding area</w:t>
            </w:r>
          </w:p>
        </w:tc>
        <w:tc>
          <w:tcPr>
            <w:tcW w:w="3503" w:type="dxa"/>
            <w:vAlign w:val="center"/>
          </w:tcPr>
          <w:p w14:paraId="563FF0E9">
            <w:pPr>
              <w:widowControl/>
              <w:ind w:left="-3"/>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If there is a jammer or interference source, remove it and try reinstalling</w:t>
            </w:r>
          </w:p>
        </w:tc>
      </w:tr>
      <w:tr w14:paraId="5BBA5162">
        <w:trPr>
          <w:trHeight w:val="1277" w:hRule="exact"/>
          <w:jc w:val="center"/>
        </w:trPr>
        <w:tc>
          <w:tcPr>
            <w:tcW w:w="2235" w:type="dxa"/>
            <w:vAlign w:val="center"/>
          </w:tcPr>
          <w:p w14:paraId="671FC1FE">
            <w:pPr>
              <w:widowControl/>
              <w:jc w:val="center"/>
              <w:rPr>
                <w:rFonts w:ascii="华康黑体W3(P)" w:hAnsi="华康黑体W3(P)" w:eastAsia="华康黑体W3(P)" w:cs="华康黑体W3(P)"/>
                <w:bCs/>
                <w:sz w:val="24"/>
                <w:szCs w:val="24"/>
              </w:rPr>
              <w:spacing/>
            </w:pPr>
            <w:r>
              <w:rPr>
                <w:rFonts w:ascii="Times New Roman" w:hAnsi="Times New Roman" w:eastAsia="Times New Roman" w:cs="Times New Roman"/>
                <w:bCs/>
                <w:sz w:val="24"/>
                <w:szCs w:val="24"/>
              </w:rPr>
              <w:t xml:space="preserve">Blue light flashing</w:t>
            </w:r>
          </w:p>
        </w:tc>
        <w:tc>
          <w:tcPr>
            <w:tcW w:w="3017" w:type="dxa"/>
            <w:vAlign w:val="center"/>
          </w:tcPr>
          <w:p w14:paraId="0655400F">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chip failure</w:t>
            </w:r>
          </w:p>
        </w:tc>
        <w:tc>
          <w:tcPr>
            <w:tcW w:w="3503" w:type="dxa"/>
            <w:vAlign w:val="center"/>
          </w:tcPr>
          <w:p w14:paraId="0F61A005">
            <w:pPr>
              <w:widowControl/>
              <w:ind w:left="-3"/>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return to factory for repair</w:t>
            </w:r>
          </w:p>
        </w:tc>
      </w:tr>
      <w:tr w14:paraId="0638CE39">
        <w:trPr>
          <w:trHeight w:val="680" w:hRule="exact"/>
          <w:jc w:val="center"/>
        </w:trPr>
        <w:tc>
          <w:tcPr>
            <w:tcW w:w="2235" w:type="dxa"/>
            <w:vMerge w:val="restart"/>
            <w:vAlign w:val="center"/>
          </w:tcPr>
          <w:p w14:paraId="4534A3AE">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Yellow light flashing quickly</w:t>
            </w:r>
          </w:p>
        </w:tc>
        <w:tc>
          <w:tcPr>
            <w:tcW w:w="3017" w:type="dxa"/>
            <w:vAlign w:val="center"/>
          </w:tcPr>
          <w:p w14:paraId="5BD75888">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Check if the SIM card is properly installed</w:t>
            </w:r>
          </w:p>
        </w:tc>
        <w:tc>
          <w:tcPr>
            <w:tcW w:w="3503" w:type="dxa"/>
            <w:vAlign w:val="center"/>
          </w:tcPr>
          <w:p w14:paraId="43FA059A">
            <w:pPr>
              <w:widowControl/>
              <w:ind w:left="-3"/>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Check if the SIM card is properly installed</w:t>
            </w:r>
          </w:p>
        </w:tc>
      </w:tr>
      <w:tr w14:paraId="16FA637D">
        <w:trPr>
          <w:trHeight w:val="1303" w:hRule="exact"/>
          <w:jc w:val="center"/>
        </w:trPr>
        <w:tc>
          <w:tcPr>
            <w:tcW w:w="2235" w:type="dxa"/>
            <w:vMerge w:val="continue"/>
            <w:vAlign w:val="center"/>
          </w:tcPr>
          <w:p w14:paraId="1FF28D39">
            <w:pPr>
              <w:jc w:val="center"/>
              <w:rPr>
                <w:rFonts w:ascii="华康黑体W3(P)" w:hAnsi="华康黑体W3(P)" w:eastAsia="华康黑体W3(P)" w:cs="华康黑体W3(P)"/>
                <w:b/>
                <w:bCs/>
                <w:sz w:val="24"/>
                <w:szCs w:val="24"/>
              </w:rPr>
            </w:pPr>
          </w:p>
        </w:tc>
        <w:tc>
          <w:tcPr>
            <w:tcW w:w="3017" w:type="dxa"/>
            <w:vAlign w:val="center"/>
          </w:tcPr>
          <w:p w14:paraId="6B37E9E2">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Check whether there is dirt or poor contact on the metal surface of the SIM card</w:t>
            </w:r>
          </w:p>
        </w:tc>
        <w:tc>
          <w:tcPr>
            <w:tcW w:w="3503" w:type="dxa"/>
            <w:vAlign w:val="center"/>
          </w:tcPr>
          <w:p w14:paraId="76926673">
            <w:pPr>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Wipe the metal chip surface with a clean cloth or repeatedly insert and remove the card several times</w:t>
            </w:r>
          </w:p>
        </w:tc>
      </w:tr>
      <w:tr w14:paraId="31C0B135">
        <w:trPr>
          <w:trHeight w:val="1286" w:hRule="exact"/>
          <w:jc w:val="center"/>
        </w:trPr>
        <w:tc>
          <w:tcPr>
            <w:tcW w:w="2235" w:type="dxa"/>
            <w:vMerge w:val="restart"/>
            <w:vAlign w:val="center"/>
          </w:tcPr>
          <w:p w14:paraId="6DB99D61">
            <w:pPr>
              <w:jc w:val="center"/>
              <w:rPr>
                <w:rFonts w:ascii="华康黑体W3(P)" w:hAnsi="华康黑体W3(P)" w:eastAsia="华康黑体W3(P)" w:cs="华康黑体W3(P)"/>
                <w:b/>
                <w:bCs/>
                <w:sz w:val="24"/>
                <w:szCs w:val="24"/>
              </w:rPr>
              <w:spacing/>
            </w:pPr>
            <w:r>
              <w:rPr>
                <w:rFonts w:ascii="Times New Roman" w:hAnsi="Times New Roman" w:eastAsia="Times New Roman" w:cs="Times New Roman"/>
                <w:b w:val="0"/>
                <w:bCs w:val="0"/>
                <w:sz w:val="24"/>
                <w:szCs w:val="24"/>
              </w:rPr>
              <w:t xml:space="preserve">Yellow light flashing slowly</w:t>
            </w:r>
          </w:p>
        </w:tc>
        <w:tc>
          <w:tcPr>
            <w:tcW w:w="3017" w:type="dxa"/>
            <w:vAlign w:val="center"/>
          </w:tcPr>
          <w:p w14:paraId="255EA72D">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Determine whether the vehicle is located in a place without mobile network coverage, such as an underground parking lot</w:t>
            </w:r>
          </w:p>
        </w:tc>
        <w:tc>
          <w:tcPr>
            <w:tcW w:w="3503" w:type="dxa"/>
            <w:vAlign w:val="center"/>
          </w:tcPr>
          <w:p w14:paraId="148B7A64">
            <w:pPr>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Please drive the vehicle to a place with good network signal and try reinstalling</w:t>
            </w:r>
          </w:p>
        </w:tc>
      </w:tr>
      <w:tr w14:paraId="1C67C395">
        <w:trPr>
          <w:trHeight w:val="298" w:hRule="atLeast"/>
          <w:jc w:val="center"/>
        </w:trPr>
        <w:tc>
          <w:tcPr>
            <w:tcW w:w="2235" w:type="dxa"/>
            <w:vMerge w:val="continue"/>
            <w:vAlign w:val="center"/>
          </w:tcPr>
          <w:p w14:paraId="7A14346D">
            <w:pPr>
              <w:jc w:val="center"/>
              <w:rPr>
                <w:rFonts w:ascii="华康黑体W3(P)" w:hAnsi="华康黑体W3(P)" w:eastAsia="华康黑体W3(P)" w:cs="华康黑体W3(P)"/>
                <w:b/>
                <w:bCs/>
                <w:sz w:val="24"/>
                <w:szCs w:val="24"/>
              </w:rPr>
            </w:pPr>
          </w:p>
        </w:tc>
        <w:tc>
          <w:tcPr>
            <w:tcW w:w="3017" w:type="dxa"/>
            <w:vAlign w:val="center"/>
          </w:tcPr>
          <w:p w14:paraId="67D9A85D">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Check whether the server backend is functioning properly</w:t>
            </w:r>
          </w:p>
        </w:tc>
        <w:tc>
          <w:tcPr>
            <w:tcW w:w="3503" w:type="dxa"/>
            <w:vAlign w:val="center"/>
          </w:tcPr>
          <w:p w14:paraId="0D65FA41">
            <w:pP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Inquire whether the backend management platform server is functioning normally</w:t>
            </w:r>
          </w:p>
        </w:tc>
      </w:tr>
      <w:tr w14:paraId="5DD84FCC">
        <w:trPr>
          <w:trHeight w:val="1128" w:hRule="exact"/>
          <w:jc w:val="center"/>
        </w:trPr>
        <w:tc>
          <w:tcPr>
            <w:tcW w:w="2235" w:type="dxa"/>
            <w:vMerge w:val="continue"/>
            <w:vAlign w:val="center"/>
          </w:tcPr>
          <w:p w14:paraId="790FF78E">
            <w:pPr>
              <w:jc w:val="center"/>
              <w:rPr>
                <w:rFonts w:ascii="华康黑体W3(P)" w:hAnsi="华康黑体W3(P)" w:eastAsia="华康黑体W3(P)" w:cs="华康黑体W3(P)"/>
                <w:b/>
                <w:bCs/>
                <w:sz w:val="24"/>
                <w:szCs w:val="24"/>
              </w:rPr>
            </w:pPr>
          </w:p>
        </w:tc>
        <w:tc>
          <w:tcPr>
            <w:tcW w:w="3017" w:type="dxa"/>
            <w:vAlign w:val="center"/>
          </w:tcPr>
          <w:p w14:paraId="5B193FE5">
            <w:pPr>
              <w:widowControl/>
              <w:jc w:val="cente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Determine whether the SIM card status is normal</w:t>
            </w:r>
          </w:p>
        </w:tc>
        <w:tc>
          <w:tcPr>
            <w:tcW w:w="3503" w:type="dxa"/>
            <w:vAlign w:val="center"/>
          </w:tcPr>
          <w:p w14:paraId="62EEBFE8">
            <w:pP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Check whether the card status is normal through the SIM card inquiry platform</w:t>
            </w:r>
          </w:p>
        </w:tc>
      </w:tr>
      <w:tr w14:paraId="15397F68">
        <w:trPr>
          <w:trHeight w:val="1285" w:hRule="exact"/>
          <w:jc w:val="center"/>
        </w:trPr>
        <w:tc>
          <w:tcPr>
            <w:tcW w:w="2235" w:type="dxa"/>
            <w:vMerge w:val="continue"/>
            <w:vAlign w:val="center"/>
          </w:tcPr>
          <w:p w14:paraId="655750A3">
            <w:pPr>
              <w:jc w:val="center"/>
              <w:rPr>
                <w:rFonts w:ascii="华康黑体W3(P)" w:hAnsi="华康黑体W3(P)" w:eastAsia="华康黑体W3(P)" w:cs="华康黑体W3(P)"/>
                <w:b/>
                <w:bCs/>
                <w:sz w:val="24"/>
                <w:szCs w:val="24"/>
              </w:rPr>
            </w:pPr>
          </w:p>
        </w:tc>
        <w:tc>
          <w:tcPr>
            <w:tcW w:w="3017" w:type="dxa"/>
            <w:vAlign w:val="center"/>
          </w:tcPr>
          <w:p w14:paraId="5B05372E">
            <w:pPr>
              <w:widowControl/>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Determine whether there is a jammer or signal blocker on the vehicle or in the surrounding area</w:t>
            </w:r>
          </w:p>
        </w:tc>
        <w:tc>
          <w:tcPr>
            <w:tcW w:w="3503" w:type="dxa"/>
            <w:vAlign w:val="center"/>
          </w:tcPr>
          <w:p w14:paraId="0BE94C2A">
            <w:pPr>
              <w:rPr>
                <w:rFonts w:ascii="华康黑体W3(P)" w:hAnsi="华康黑体W3(P)" w:eastAsia="华康黑体W3(P)" w:cs="华康黑体W3(P)"/>
                <w:sz w:val="24"/>
                <w:szCs w:val="24"/>
              </w:rPr>
              <w:spacing/>
            </w:pPr>
            <w:r>
              <w:rPr>
                <w:rFonts w:ascii="Times New Roman" w:hAnsi="Times New Roman" w:eastAsia="Times New Roman" w:cs="Times New Roman"/>
                <w:sz w:val="24"/>
                <w:szCs w:val="24"/>
              </w:rPr>
              <w:t xml:space="preserve">If there is a jammer or interference source, remove it and try again</w:t>
            </w:r>
          </w:p>
        </w:tc>
      </w:tr>
    </w:tbl>
    <w:p w14:paraId="2F9FE378">
      <w:pPr>
        <w:pStyle w:val="2"/>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lang w:eastAsia="zh-CN"/>
        </w:rPr>
        <w:t xml:space="preserve">VI. Precautions</w:t>
      </w:r>
    </w:p>
    <w:p w14:paraId="4F9D6E40">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Please take care to prevent water damage to electronic products.</w:t>
      </w:r>
    </w:p>
    <w:p w14:paraId="229C66B4">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Please insert the SIM card before installation and ensure that no password is set on the SIM card, otherwise the device will not work properly.</w:t>
      </w:r>
    </w:p>
    <w:p w14:paraId="19599053">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The USB port on the terminal device is exclusively for factory testing and is not a charging port for the device. Please refrain from using it for charging or any other purposes.</w:t>
      </w:r>
    </w:p>
    <w:p w14:paraId="4BCF44A7">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The installation location must be above an area that is not obstructed by substances that absorb electromagnetic waves (such as metal or explosion-proof heat-insulating film).</w:t>
      </w:r>
    </w:p>
    <w:p w14:paraId="48872148">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Do not expose the device to liquids or operate it with wet hands.</w:t>
      </w:r>
    </w:p>
    <w:p w14:paraId="725EA66B">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Do not throw the device into fire</w:t>
      </w:r>
    </w:p>
    <w:p w14:paraId="3907CFB3">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The device may not function when the temperature is below -20℃ or above +60℃.</w:t>
      </w:r>
    </w:p>
    <w:p w14:paraId="225D5267">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When the vehicle is located in an underground parking lot, tunnel, or garage, it will affect the positioning signal.</w:t>
      </w:r>
      <w:r>
        <w:rPr>
          <w:rFonts w:ascii="Times New Roman" w:hAnsi="Times New Roman" w:eastAsia="Times New Roman" w:cs="Times New Roman"/>
          <w:sz w:val="24"/>
          <w:szCs w:val="24"/>
        </w:rPr>
        <w:t xml:space="preserve"> There may be blind spots in the communication network signal, causing the device to be unable to monitor.</w:t>
      </w:r>
      <w:r>
        <w:rPr>
          <w:rFonts w:ascii="Times New Roman" w:hAnsi="Times New Roman" w:eastAsia="Times New Roman" w:cs="Times New Roman"/>
          <w:sz w:val="24"/>
          <w:szCs w:val="24"/>
        </w:rPr>
        <w:t xml:space="preserve"> When the vehicle exits these areas, the device will automatically resume normal operation.</w:t>
      </w:r>
    </w:p>
    <w:p w14:paraId="5614C5F2">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In case of any abnormalities, please do not attempt to repair it yourself.</w:t>
      </w:r>
      <w:r>
        <w:rPr>
          <w:rFonts w:ascii="Times New Roman" w:hAnsi="Times New Roman" w:eastAsia="Times New Roman" w:cs="Times New Roman"/>
          <w:sz w:val="24"/>
          <w:szCs w:val="24"/>
        </w:rPr>
        <w:t xml:space="preserve"> The manufacturer will not be held responsible for any damages caused by connecting non-original accessories or disconnecting the connections between various components.</w:t>
      </w:r>
    </w:p>
    <w:p w14:paraId="301906E8">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This product is a safety driving assistance product, and any losses caused by malfunctions or loss of information are not related to our company.</w:t>
      </w:r>
    </w:p>
    <w:p w14:paraId="0CD0C056">
      <w:pPr>
        <w:pStyle w:val="15"/>
        <w:widowControl/>
        <w:numPr>
          <w:ilvl w:val="0"/>
          <w:numId w:val="2"/>
        </w:numPr>
        <w:spacing w:line="220" w:lineRule="auto"/>
        <w:ind w:firstLineChars="0"/>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This product has passed the international CE certification, but due to the complex electromagnetic environment inside vehicles, there is a possibility that this product may cause electromagnetic interference with the electrical equipment inside certain vehicle models.</w:t>
      </w:r>
    </w:p>
    <w:p w14:paraId="23161ED8">
      <w:pPr>
        <w:pStyle w:val="15"/>
        <w:widowControl/>
        <w:numPr>
          <w:ilvl w:val="0"/>
          <w:numId w:val="2"/>
        </w:numPr>
        <w:spacing w:line="220" w:lineRule="auto"/>
        <w:ind w:firstLineChars="0"/>
        <w:jc w:val="left"/>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Please refrain from installing or operating this product while the vehicle is in motion.</w:t>
      </w:r>
    </w:p>
    <w:p w14:paraId="05FF8B34">
      <w:pPr>
        <w:pStyle w:val="15"/>
        <w:widowControl/>
        <w:numPr>
          <w:ilvl w:val="0"/>
          <w:numId w:val="2"/>
        </w:numPr>
        <w:spacing w:line="220" w:lineRule="auto"/>
        <w:ind w:firstLineChars="0"/>
        <w:jc w:val="left"/>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Please do not connect the uninterruptible power supply without authorization, as it may cause malfunctions in your car or product. For installation matters, please be sure to consult a professional.</w:t>
      </w:r>
    </w:p>
    <w:p w14:paraId="7FD8C9A0">
      <w:pPr>
        <w:pStyle w:val="15"/>
        <w:widowControl/>
        <w:numPr>
          <w:ilvl w:val="0"/>
          <w:numId w:val="2"/>
        </w:numPr>
        <w:spacing w:line="220" w:lineRule="auto"/>
        <w:ind w:firstLineChars="0"/>
        <w:jc w:val="left"/>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Please avoid subjecting this product to strong impacts or vibrations, as this may damage the product, resulting in malfunction or inoperability.</w:t>
      </w:r>
    </w:p>
    <w:p w14:paraId="014C7CF2">
      <w:pPr>
        <w:pStyle w:val="15"/>
        <w:widowControl/>
        <w:numPr>
          <w:ilvl w:val="0"/>
          <w:numId w:val="2"/>
        </w:numPr>
        <w:spacing w:line="220" w:lineRule="auto"/>
        <w:ind w:firstLineChars="0"/>
        <w:jc w:val="left"/>
        <w:rPr>
          <w:rFonts w:hint="eastAsia" w:ascii="华康黑体W3(P)" w:hAnsi="华康黑体W3(P)" w:eastAsia="华康黑体W3(P)" w:cs="华康黑体W3(P)"/>
          <w:shd w:val="pct10" w:color="auto" w:fill="FFFFFF"/>
        </w:rPr>
      </w:pPr>
      <w:r>
        <w:rPr>
          <w:rFonts w:ascii="Times New Roman" w:hAnsi="Times New Roman" w:eastAsia="Times New Roman" w:cs="Times New Roman"/>
          <w:sz w:val="24"/>
          <w:szCs w:val="24"/>
        </w:rPr>
        <w:t xml:space="preserve">The normal operating temperature range for this product is from -20 degrees Celsius to 65 degrees Celsius. Operating outside this temperature range may result in product malfunction, fire, or explosion.</w:t>
      </w:r>
    </w:p>
    <w:p w14:paraId="0D10A564">
      <w:pPr>
        <w:pStyle w:val="2"/>
        <w:rPr>
          <w:rFonts w:hint="eastAsia" w:ascii="华康黑体W3(P)" w:hAnsi="华康黑体W3(P)" w:eastAsia="华康黑体W3(P)" w:cs="华康黑体W3(P)"/>
          <w:shd w:val="pct10" w:color="auto" w:fill="FFFFFF"/>
        </w:rPr>
        <w:spacing/>
      </w:pPr>
      <w:r>
        <w:rPr>
          <w:rFonts w:ascii="Times New Roman" w:hAnsi="Times New Roman" w:eastAsia="Times New Roman" w:cs="Times New Roman"/>
          <w:shd w:val="pct10" w:color="auto" w:fill="FFFFFF"/>
          <w:lang w:eastAsia="zh-CN"/>
        </w:rPr>
        <w:t xml:space="preserve">VII. After-sales Service</w:t>
      </w:r>
    </w:p>
    <w:p w14:paraId="572D72A1">
      <w:pPr>
        <w:widowControl/>
        <w:spacing w:line="220" w:lineRule="auto"/>
        <w:jc w:val="left"/>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1. This product is eligible for a three-month replacement guarantee and one-year warranty service from the date of shipment.</w:t>
      </w:r>
      <w:r>
        <w:rPr>
          <w:rFonts w:ascii="Times New Roman" w:hAnsi="Times New Roman" w:eastAsia="Times New Roman" w:cs="Times New Roman"/>
          <w:sz w:val="24"/>
          <w:szCs w:val="24"/>
        </w:rPr>
        <w:t xml:space="preserve"> During the warranty period, if the equipment is damaged due to non-human factors or product quality issues, please contact the dealer for timely resolution.</w:t>
      </w:r>
    </w:p>
    <w:p w14:paraId="19FA6CBB">
      <w:pPr>
        <w:widowControl/>
        <w:spacing w:line="220" w:lineRule="auto"/>
        <w:jc w:val="left"/>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2. Damages caused by customers' unauthorized disassembly or force majeure events (such as floods, vehicle accidents) will not be repaired.</w:t>
      </w:r>
    </w:p>
    <w:p w14:paraId="54249945">
      <w:pPr>
        <w:widowControl/>
        <w:spacing w:line="220" w:lineRule="auto"/>
        <w:jc w:val="left"/>
        <w:rPr>
          <w:rFonts w:hint="eastAsia" w:ascii="华康黑体W3(P)" w:hAnsi="华康黑体W3(P)" w:eastAsia="华康黑体W3(P)" w:cs="华康黑体W3(P)"/>
          <w:sz w:val="24"/>
          <w:szCs w:val="24"/>
        </w:rPr>
      </w:pPr>
      <w:r>
        <w:rPr>
          <w:rFonts w:ascii="Times New Roman" w:hAnsi="Times New Roman" w:eastAsia="Times New Roman" w:cs="Times New Roman"/>
          <w:sz w:val="24"/>
          <w:szCs w:val="24"/>
        </w:rPr>
        <w:t xml:space="preserve">3. After the warranty period expires, for any product damage or malfunction caused by use, a fee for the cost of repair materials will be charged.</w:t>
      </w:r>
    </w:p>
    <w:p w14:paraId="7E3B5FBA">
      <w:pPr>
        <w:widowControl/>
        <w:spacing w:line="220" w:lineRule="auto"/>
        <w:jc w:val="left"/>
        <w:rPr>
          <w:rFonts w:hint="eastAsia" w:ascii="华康黑体W3(P)" w:hAnsi="华康黑体W3(P)" w:eastAsia="华康黑体W3(P)" w:cs="华康黑体W3(P)"/>
          <w:b/>
          <w:sz w:val="28"/>
          <w:lang w:eastAsia="zh-CN"/>
        </w:rPr>
      </w:pPr>
      <w:r>
        <w:rPr>
          <w:rFonts w:ascii="Times New Roman" w:hAnsi="Times New Roman" w:eastAsia="Times New Roman" w:cs="Times New Roman"/>
          <w:sz w:val="24"/>
          <w:szCs w:val="24"/>
        </w:rPr>
        <w:t xml:space="preserve">4. Provide customers with free consultation and technical services related to product purchase, usage, and APP installation.</w:t>
      </w:r>
    </w:p>
    <w:sectPr>
      <w:headerReference r:id="rId3" w:type="default"/>
      <w:footerReference r:id="rId4" w:type="default"/>
      <w:pgSz w:w="11906" w:h="16838"/>
      <w:pgMar w:top="1440" w:right="1797" w:bottom="1440" w:left="1797"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2000019F" w:csb1="00000000"/>
  </w:font>
  <w:font w:name="微软雅黑">
    <w:altName w:val="汉仪旗黑"/>
    <w:panose1 w:val="020B0503020204020204"/>
    <w:charset w:val="86"/>
    <w:family w:val="swiss"/>
    <w:pitch w:val="default"/>
    <w:sig w:usb0="00000000" w:usb1="00000000" w:usb2="00000016" w:usb3="00000000" w:csb0="0004001F" w:csb1="00000000"/>
  </w:font>
  <w:font w:name="华康黑体W3(P)">
    <w:altName w:val="汉仪中黑KW"/>
    <w:panose1 w:val="020B0300000000000000"/>
    <w:charset w:val="86"/>
    <w:family w:val="auto"/>
    <w:pitch w:val="default"/>
    <w:sig w:usb0="00000000" w:usb1="00000000" w:usb2="00000012" w:usb3="00000000" w:csb0="00040000"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6241885"/>
      <w:docPartObj>
        <w:docPartGallery w:val="autotext"/>
      </w:docPartObj>
    </w:sdtPr>
    <w:sdtContent>
      <w:p w14:paraId="04D0AEB8">
        <w:pPr>
          <w:pStyle w:val="4"/>
          <w:jc w:val="center"/>
          <w:spacing/>
        </w:pPr>
        <w:r>
          <w:rPr>
            <w:rFonts w:eastAsia="Times New Roman" w:cs="Times New Roman" w:hAnsi="Times New Roman" w:ascii="Times New Roman"/>
          </w:rPr>
          <w:fldChar w:fldCharType="begin"/>
        </w:r>
        <w:r>
          <w:rPr>
            <w:rFonts w:eastAsia="Times New Roman" w:cs="Times New Roman" w:hAnsi="Times New Roman" w:ascii="Times New Roman"/>
          </w:rPr>
          <w:instrText xml:space="preserve"> PAGE   \* MERGEFORMAT </w:instrText>
        </w:r>
        <w:r>
          <w:rPr>
            <w:rFonts w:eastAsia="Times New Roman" w:cs="Times New Roman" w:hAnsi="Times New Roman" w:ascii="Times New Roman"/>
          </w:rPr>
          <w:fldChar w:fldCharType="separate"/>
        </w:r>
        <w:r>
          <w:rPr>
            <w:lang w:val="zh-CN"/>
            <w:rFonts w:eastAsia="Times New Roman" w:cs="Times New Roman" w:hAnsi="Times New Roman" w:ascii="Times New Roman"/>
          </w:rPr>
          <w:t xml:space="preserve">8</w:t>
        </w:r>
        <w:r>
          <w:rPr>
            <w:lang w:val="zh-CN"/>
            <w:rFonts w:eastAsia="Times New Roman" w:cs="Times New Roman" w:hAnsi="Times New Roman" w:ascii="Times New Roman"/>
          </w:rPr>
          <w:fldChar w:fldCharType="end"/>
        </w:r>
      </w:p>
    </w:sdtContent>
  </w:sdt>
  <w:p w14:paraId="72326EF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AAE0C">
    <w:pPr>
      <w:pStyle w:val="5"/>
      <w:pBdr>
        <w:bottom w:val="none" w:color="auto" w:sz="0" w:space="6"/>
      </w:pBdr>
      <w:jc w:val="both"/>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47EA4"/>
    <w:multiLevelType w:val="multilevel"/>
    <w:tmpl w:val="0AE47EA4"/>
    <w:lvl w:ilvl="0" w:tentative="0">
      <w:suff w:val="space"/>
      <w:start w:val="1"/>
      <w:numFmt w:val="decimal"/>
      <w:lvlText w:val="%1"/>
      <w:lvlJc w:val="left"/>
      <w:pPr>
        <w:ind w:left="420" w:hanging="420"/>
      </w:pPr>
    </w:lvl>
    <w:lvl w:ilvl="1" w:tentative="0">
      <w:suff w:val="space"/>
      <w:start w:val="1"/>
      <w:numFmt w:val="decimal"/>
      <w:lvlText w:val="%2"/>
      <w:lvlJc w:val="left"/>
      <w:pPr>
        <w:ind w:left="840" w:hanging="420"/>
      </w:pPr>
    </w:lvl>
    <w:lvl w:ilvl="2" w:tentative="0">
      <w:suff w:val="space"/>
      <w:start w:val="1"/>
      <w:numFmt w:val="decimal"/>
      <w:lvlText w:val="%3"/>
      <w:lvlJc w:val="right"/>
      <w:pPr>
        <w:ind w:left="1260" w:hanging="420"/>
      </w:pPr>
    </w:lvl>
    <w:lvl w:ilvl="3" w:tentative="0">
      <w:suff w:val="space"/>
      <w:start w:val="1"/>
      <w:numFmt w:val="decimal"/>
      <w:lvlText w:val="%4"/>
      <w:lvlJc w:val="left"/>
      <w:pPr>
        <w:ind w:left="1680" w:hanging="420"/>
      </w:pPr>
    </w:lvl>
    <w:lvl w:ilvl="4" w:tentative="0">
      <w:suff w:val="space"/>
      <w:start w:val="1"/>
      <w:numFmt w:val="decimal"/>
      <w:lvlText w:val="%5"/>
      <w:lvlJc w:val="left"/>
      <w:pPr>
        <w:ind w:left="2100" w:hanging="420"/>
      </w:pPr>
    </w:lvl>
    <w:lvl w:ilvl="5" w:tentative="0">
      <w:suff w:val="space"/>
      <w:start w:val="1"/>
      <w:numFmt w:val="decimal"/>
      <w:lvlText w:val="%6"/>
      <w:lvlJc w:val="right"/>
      <w:pPr>
        <w:ind w:left="2520" w:hanging="420"/>
      </w:pPr>
    </w:lvl>
    <w:lvl w:ilvl="6" w:tentative="0">
      <w:suff w:val="space"/>
      <w:start w:val="1"/>
      <w:numFmt w:val="decimal"/>
      <w:lvlText w:val="%7"/>
      <w:lvlJc w:val="left"/>
      <w:pPr>
        <w:ind w:left="2940" w:hanging="420"/>
      </w:pPr>
    </w:lvl>
    <w:lvl w:ilvl="7" w:tentative="0">
      <w:suff w:val="space"/>
      <w:start w:val="1"/>
      <w:numFmt w:val="decimal"/>
      <w:lvlText w:val="%8"/>
      <w:lvlJc w:val="left"/>
      <w:pPr>
        <w:ind w:left="3360" w:hanging="420"/>
      </w:pPr>
    </w:lvl>
    <w:lvl w:ilvl="8" w:tentative="0">
      <w:suff w:val="space"/>
      <w:start w:val="1"/>
      <w:numFmt w:val="decimal"/>
      <w:lvlText w:val="%9"/>
      <w:lvlJc w:val="right"/>
      <w:pPr>
        <w:ind w:left="3780" w:hanging="420"/>
      </w:pPr>
    </w:lvl>
  </w:abstractNum>
  <w:abstractNum w:abstractNumId="1">
    <w:nsid w:val="757601A7"/>
    <w:multiLevelType w:val="multilevel"/>
    <w:tmpl w:val="757601A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0NjI4ODllMDI5NzZjNTk3ZGEzYWUwODMxMzY3MDQifQ=="/>
  </w:docVars>
  <w:rsids>
    <w:rsidRoot w:val="00D5205F"/>
    <w:rsid w:val="0000381F"/>
    <w:rsid w:val="0001147F"/>
    <w:rsid w:val="00016169"/>
    <w:rsid w:val="0003122A"/>
    <w:rsid w:val="0004275C"/>
    <w:rsid w:val="00053E07"/>
    <w:rsid w:val="00061C1C"/>
    <w:rsid w:val="000732D1"/>
    <w:rsid w:val="00077090"/>
    <w:rsid w:val="000770C0"/>
    <w:rsid w:val="000823E9"/>
    <w:rsid w:val="000840D1"/>
    <w:rsid w:val="000B4C52"/>
    <w:rsid w:val="000C77D6"/>
    <w:rsid w:val="000D436B"/>
    <w:rsid w:val="000D52ED"/>
    <w:rsid w:val="000E35A4"/>
    <w:rsid w:val="000E4B71"/>
    <w:rsid w:val="000E5F45"/>
    <w:rsid w:val="000F3548"/>
    <w:rsid w:val="0011035F"/>
    <w:rsid w:val="00112BD0"/>
    <w:rsid w:val="001131DC"/>
    <w:rsid w:val="0011683D"/>
    <w:rsid w:val="00116A99"/>
    <w:rsid w:val="00125013"/>
    <w:rsid w:val="00125C75"/>
    <w:rsid w:val="00141A21"/>
    <w:rsid w:val="00153A8A"/>
    <w:rsid w:val="00157B93"/>
    <w:rsid w:val="00161E17"/>
    <w:rsid w:val="0017148E"/>
    <w:rsid w:val="0017441F"/>
    <w:rsid w:val="00190943"/>
    <w:rsid w:val="001949E4"/>
    <w:rsid w:val="001A27D0"/>
    <w:rsid w:val="001A6E75"/>
    <w:rsid w:val="001B0001"/>
    <w:rsid w:val="001B7ACA"/>
    <w:rsid w:val="001C5A27"/>
    <w:rsid w:val="001C6D71"/>
    <w:rsid w:val="001D6396"/>
    <w:rsid w:val="001E22C6"/>
    <w:rsid w:val="001E68C0"/>
    <w:rsid w:val="001F31E5"/>
    <w:rsid w:val="00202726"/>
    <w:rsid w:val="002069B9"/>
    <w:rsid w:val="00210D6F"/>
    <w:rsid w:val="002125C3"/>
    <w:rsid w:val="00216749"/>
    <w:rsid w:val="00225865"/>
    <w:rsid w:val="002330E5"/>
    <w:rsid w:val="002713D0"/>
    <w:rsid w:val="0027431E"/>
    <w:rsid w:val="00286360"/>
    <w:rsid w:val="002C5566"/>
    <w:rsid w:val="002D773F"/>
    <w:rsid w:val="002D785E"/>
    <w:rsid w:val="002E4232"/>
    <w:rsid w:val="002E5943"/>
    <w:rsid w:val="002F22D7"/>
    <w:rsid w:val="00305889"/>
    <w:rsid w:val="00317D45"/>
    <w:rsid w:val="00320255"/>
    <w:rsid w:val="00330DDE"/>
    <w:rsid w:val="00335EC5"/>
    <w:rsid w:val="003433D8"/>
    <w:rsid w:val="00347D8B"/>
    <w:rsid w:val="0035680F"/>
    <w:rsid w:val="0036106D"/>
    <w:rsid w:val="00364923"/>
    <w:rsid w:val="00365B29"/>
    <w:rsid w:val="00365C25"/>
    <w:rsid w:val="00370639"/>
    <w:rsid w:val="0038685B"/>
    <w:rsid w:val="00390F28"/>
    <w:rsid w:val="00393253"/>
    <w:rsid w:val="003A7417"/>
    <w:rsid w:val="003B3A15"/>
    <w:rsid w:val="003C6DDD"/>
    <w:rsid w:val="003D5068"/>
    <w:rsid w:val="003E0BE5"/>
    <w:rsid w:val="003E180E"/>
    <w:rsid w:val="003E3F94"/>
    <w:rsid w:val="003F67AA"/>
    <w:rsid w:val="004065E7"/>
    <w:rsid w:val="004074D8"/>
    <w:rsid w:val="004219BA"/>
    <w:rsid w:val="00422929"/>
    <w:rsid w:val="004346A0"/>
    <w:rsid w:val="00453736"/>
    <w:rsid w:val="00466A24"/>
    <w:rsid w:val="0046702F"/>
    <w:rsid w:val="00481909"/>
    <w:rsid w:val="004B0776"/>
    <w:rsid w:val="004B116F"/>
    <w:rsid w:val="004B32D1"/>
    <w:rsid w:val="004B3F29"/>
    <w:rsid w:val="004B4ADD"/>
    <w:rsid w:val="004B4F03"/>
    <w:rsid w:val="004C0C01"/>
    <w:rsid w:val="004D608B"/>
    <w:rsid w:val="004E3E92"/>
    <w:rsid w:val="0050396D"/>
    <w:rsid w:val="00516160"/>
    <w:rsid w:val="00521E70"/>
    <w:rsid w:val="005308D6"/>
    <w:rsid w:val="0053369D"/>
    <w:rsid w:val="00540B75"/>
    <w:rsid w:val="00545B8F"/>
    <w:rsid w:val="005536BC"/>
    <w:rsid w:val="00586D32"/>
    <w:rsid w:val="005871BA"/>
    <w:rsid w:val="005A43BA"/>
    <w:rsid w:val="005A67DD"/>
    <w:rsid w:val="005C6550"/>
    <w:rsid w:val="005D2121"/>
    <w:rsid w:val="005E5A52"/>
    <w:rsid w:val="005F5788"/>
    <w:rsid w:val="00604325"/>
    <w:rsid w:val="0060605A"/>
    <w:rsid w:val="00617E8D"/>
    <w:rsid w:val="006241E0"/>
    <w:rsid w:val="00634E34"/>
    <w:rsid w:val="006669DE"/>
    <w:rsid w:val="00667609"/>
    <w:rsid w:val="00671A18"/>
    <w:rsid w:val="00680398"/>
    <w:rsid w:val="006A0C81"/>
    <w:rsid w:val="006D127F"/>
    <w:rsid w:val="006D1934"/>
    <w:rsid w:val="006E0CB5"/>
    <w:rsid w:val="006E2B40"/>
    <w:rsid w:val="006E591C"/>
    <w:rsid w:val="006F1125"/>
    <w:rsid w:val="006F189C"/>
    <w:rsid w:val="007040AD"/>
    <w:rsid w:val="0071122F"/>
    <w:rsid w:val="00711E3E"/>
    <w:rsid w:val="0071449D"/>
    <w:rsid w:val="00721734"/>
    <w:rsid w:val="007357A1"/>
    <w:rsid w:val="0073745A"/>
    <w:rsid w:val="00744778"/>
    <w:rsid w:val="00753BFE"/>
    <w:rsid w:val="00775E6B"/>
    <w:rsid w:val="00777A37"/>
    <w:rsid w:val="00780016"/>
    <w:rsid w:val="00793FFF"/>
    <w:rsid w:val="007A254D"/>
    <w:rsid w:val="007A4C3F"/>
    <w:rsid w:val="007B09C0"/>
    <w:rsid w:val="007C0044"/>
    <w:rsid w:val="007C3B9A"/>
    <w:rsid w:val="007C4032"/>
    <w:rsid w:val="007C4CEC"/>
    <w:rsid w:val="007E0C28"/>
    <w:rsid w:val="007E26EC"/>
    <w:rsid w:val="007F66C5"/>
    <w:rsid w:val="007F6FAD"/>
    <w:rsid w:val="00803A94"/>
    <w:rsid w:val="00815A50"/>
    <w:rsid w:val="00824DF4"/>
    <w:rsid w:val="008253AD"/>
    <w:rsid w:val="0083073C"/>
    <w:rsid w:val="00834AC9"/>
    <w:rsid w:val="00852C41"/>
    <w:rsid w:val="008562A3"/>
    <w:rsid w:val="00857FEE"/>
    <w:rsid w:val="00862FE3"/>
    <w:rsid w:val="0086719B"/>
    <w:rsid w:val="0087612C"/>
    <w:rsid w:val="008871A7"/>
    <w:rsid w:val="008907F3"/>
    <w:rsid w:val="00891AE9"/>
    <w:rsid w:val="008A4FF8"/>
    <w:rsid w:val="008B414B"/>
    <w:rsid w:val="008C7AFA"/>
    <w:rsid w:val="008D26A7"/>
    <w:rsid w:val="008D578D"/>
    <w:rsid w:val="008D6E26"/>
    <w:rsid w:val="008E7557"/>
    <w:rsid w:val="008F3F76"/>
    <w:rsid w:val="00901705"/>
    <w:rsid w:val="00912557"/>
    <w:rsid w:val="00914424"/>
    <w:rsid w:val="00914932"/>
    <w:rsid w:val="00922C82"/>
    <w:rsid w:val="0092353C"/>
    <w:rsid w:val="00942645"/>
    <w:rsid w:val="009432EC"/>
    <w:rsid w:val="00950DF3"/>
    <w:rsid w:val="0095521A"/>
    <w:rsid w:val="00955D17"/>
    <w:rsid w:val="00964758"/>
    <w:rsid w:val="00976164"/>
    <w:rsid w:val="00994F85"/>
    <w:rsid w:val="009A2460"/>
    <w:rsid w:val="009A2514"/>
    <w:rsid w:val="009A42DA"/>
    <w:rsid w:val="009B58AC"/>
    <w:rsid w:val="009D6F32"/>
    <w:rsid w:val="009E24B4"/>
    <w:rsid w:val="009E4CE7"/>
    <w:rsid w:val="009F2300"/>
    <w:rsid w:val="009F3819"/>
    <w:rsid w:val="009F6109"/>
    <w:rsid w:val="00A33AFB"/>
    <w:rsid w:val="00A34F44"/>
    <w:rsid w:val="00A41441"/>
    <w:rsid w:val="00A506C9"/>
    <w:rsid w:val="00A518F6"/>
    <w:rsid w:val="00A653CA"/>
    <w:rsid w:val="00A661B3"/>
    <w:rsid w:val="00A84CF6"/>
    <w:rsid w:val="00A84E30"/>
    <w:rsid w:val="00A926B7"/>
    <w:rsid w:val="00AA2469"/>
    <w:rsid w:val="00AA5889"/>
    <w:rsid w:val="00AB013D"/>
    <w:rsid w:val="00AB063B"/>
    <w:rsid w:val="00AB2496"/>
    <w:rsid w:val="00AD1F2C"/>
    <w:rsid w:val="00AD70AF"/>
    <w:rsid w:val="00AE0D2B"/>
    <w:rsid w:val="00AE5C29"/>
    <w:rsid w:val="00AF2E9F"/>
    <w:rsid w:val="00AF3CA5"/>
    <w:rsid w:val="00B026D3"/>
    <w:rsid w:val="00B2060A"/>
    <w:rsid w:val="00B279B2"/>
    <w:rsid w:val="00B27D59"/>
    <w:rsid w:val="00B32375"/>
    <w:rsid w:val="00B42A9D"/>
    <w:rsid w:val="00B44227"/>
    <w:rsid w:val="00B46A6A"/>
    <w:rsid w:val="00B534FB"/>
    <w:rsid w:val="00B763EE"/>
    <w:rsid w:val="00B908B6"/>
    <w:rsid w:val="00B9322F"/>
    <w:rsid w:val="00B94965"/>
    <w:rsid w:val="00BB6ACF"/>
    <w:rsid w:val="00BB6C1B"/>
    <w:rsid w:val="00BC1739"/>
    <w:rsid w:val="00BD2AF9"/>
    <w:rsid w:val="00BE090D"/>
    <w:rsid w:val="00BE28A4"/>
    <w:rsid w:val="00BF26CE"/>
    <w:rsid w:val="00C21660"/>
    <w:rsid w:val="00C25C91"/>
    <w:rsid w:val="00C47569"/>
    <w:rsid w:val="00C51031"/>
    <w:rsid w:val="00C52D1F"/>
    <w:rsid w:val="00C64A21"/>
    <w:rsid w:val="00C66430"/>
    <w:rsid w:val="00CA684A"/>
    <w:rsid w:val="00CA6D4B"/>
    <w:rsid w:val="00CB418B"/>
    <w:rsid w:val="00CC6B8B"/>
    <w:rsid w:val="00CE3821"/>
    <w:rsid w:val="00CE41DB"/>
    <w:rsid w:val="00CE6A9A"/>
    <w:rsid w:val="00D04746"/>
    <w:rsid w:val="00D11067"/>
    <w:rsid w:val="00D12656"/>
    <w:rsid w:val="00D5205F"/>
    <w:rsid w:val="00D56F95"/>
    <w:rsid w:val="00D643A4"/>
    <w:rsid w:val="00D66BC1"/>
    <w:rsid w:val="00D72B44"/>
    <w:rsid w:val="00D758A7"/>
    <w:rsid w:val="00D947C1"/>
    <w:rsid w:val="00D94823"/>
    <w:rsid w:val="00DA23FA"/>
    <w:rsid w:val="00DA2946"/>
    <w:rsid w:val="00DB03CE"/>
    <w:rsid w:val="00DB1447"/>
    <w:rsid w:val="00DB32EA"/>
    <w:rsid w:val="00DC4193"/>
    <w:rsid w:val="00DD4840"/>
    <w:rsid w:val="00DD6333"/>
    <w:rsid w:val="00DE216C"/>
    <w:rsid w:val="00DE71E9"/>
    <w:rsid w:val="00E178BF"/>
    <w:rsid w:val="00E22CD1"/>
    <w:rsid w:val="00E3083C"/>
    <w:rsid w:val="00E3094F"/>
    <w:rsid w:val="00E3440D"/>
    <w:rsid w:val="00EA0531"/>
    <w:rsid w:val="00EB5682"/>
    <w:rsid w:val="00EC1D00"/>
    <w:rsid w:val="00EC2C7C"/>
    <w:rsid w:val="00EC64C5"/>
    <w:rsid w:val="00EC7326"/>
    <w:rsid w:val="00EE30B9"/>
    <w:rsid w:val="00EF1D70"/>
    <w:rsid w:val="00F05DEC"/>
    <w:rsid w:val="00F16649"/>
    <w:rsid w:val="00F30C47"/>
    <w:rsid w:val="00F42403"/>
    <w:rsid w:val="00F453D7"/>
    <w:rsid w:val="00F6341E"/>
    <w:rsid w:val="00F718AE"/>
    <w:rsid w:val="00F85208"/>
    <w:rsid w:val="00F932A9"/>
    <w:rsid w:val="00FA24F9"/>
    <w:rsid w:val="00FC0826"/>
    <w:rsid w:val="00FC5038"/>
    <w:rsid w:val="00FD35E4"/>
    <w:rsid w:val="00FD51E5"/>
    <w:rsid w:val="00FD5CE3"/>
    <w:rsid w:val="00FE7E66"/>
    <w:rsid w:val="00FF15BB"/>
    <w:rsid w:val="00FF7A57"/>
    <w:rsid w:val="01EE6893"/>
    <w:rsid w:val="02D22E4E"/>
    <w:rsid w:val="02DD1FC4"/>
    <w:rsid w:val="0305091C"/>
    <w:rsid w:val="04001EB3"/>
    <w:rsid w:val="048C02D8"/>
    <w:rsid w:val="05CC09AE"/>
    <w:rsid w:val="05E878B7"/>
    <w:rsid w:val="08BC5BF4"/>
    <w:rsid w:val="092C743A"/>
    <w:rsid w:val="094073F5"/>
    <w:rsid w:val="0B9E3497"/>
    <w:rsid w:val="0D3444DA"/>
    <w:rsid w:val="0E131EC2"/>
    <w:rsid w:val="0E6A2611"/>
    <w:rsid w:val="0EED0538"/>
    <w:rsid w:val="125E7E64"/>
    <w:rsid w:val="133A0A96"/>
    <w:rsid w:val="143F6865"/>
    <w:rsid w:val="16C702C2"/>
    <w:rsid w:val="18AE6EE2"/>
    <w:rsid w:val="1A596282"/>
    <w:rsid w:val="1B6805D3"/>
    <w:rsid w:val="1C830134"/>
    <w:rsid w:val="1D026E33"/>
    <w:rsid w:val="1D9F7E52"/>
    <w:rsid w:val="1F965D0E"/>
    <w:rsid w:val="20D91539"/>
    <w:rsid w:val="21F833D6"/>
    <w:rsid w:val="247A77D1"/>
    <w:rsid w:val="27F72992"/>
    <w:rsid w:val="28595BE0"/>
    <w:rsid w:val="29E67F36"/>
    <w:rsid w:val="2F471866"/>
    <w:rsid w:val="30DB2A66"/>
    <w:rsid w:val="31FB258D"/>
    <w:rsid w:val="32DB37CF"/>
    <w:rsid w:val="33425AFC"/>
    <w:rsid w:val="34231610"/>
    <w:rsid w:val="34CB6968"/>
    <w:rsid w:val="36102CDB"/>
    <w:rsid w:val="3BA9014E"/>
    <w:rsid w:val="3E4D0DED"/>
    <w:rsid w:val="3E536672"/>
    <w:rsid w:val="3F1120A7"/>
    <w:rsid w:val="3F580A1F"/>
    <w:rsid w:val="43704DBC"/>
    <w:rsid w:val="446D1618"/>
    <w:rsid w:val="44845929"/>
    <w:rsid w:val="458D4E2A"/>
    <w:rsid w:val="45EC29DC"/>
    <w:rsid w:val="46CE571F"/>
    <w:rsid w:val="47FD761C"/>
    <w:rsid w:val="49B31616"/>
    <w:rsid w:val="4BB93779"/>
    <w:rsid w:val="4C742C70"/>
    <w:rsid w:val="4CA23E42"/>
    <w:rsid w:val="52164B48"/>
    <w:rsid w:val="53720765"/>
    <w:rsid w:val="54DA40B7"/>
    <w:rsid w:val="55426E54"/>
    <w:rsid w:val="56BF5DEE"/>
    <w:rsid w:val="58716DB7"/>
    <w:rsid w:val="592A279C"/>
    <w:rsid w:val="59662147"/>
    <w:rsid w:val="5A6564FA"/>
    <w:rsid w:val="5DF23CA4"/>
    <w:rsid w:val="5F463825"/>
    <w:rsid w:val="5FC66733"/>
    <w:rsid w:val="6016446C"/>
    <w:rsid w:val="62D90808"/>
    <w:rsid w:val="6311591A"/>
    <w:rsid w:val="637E78C0"/>
    <w:rsid w:val="65AC7C20"/>
    <w:rsid w:val="672A31C4"/>
    <w:rsid w:val="691622DA"/>
    <w:rsid w:val="69894E64"/>
    <w:rsid w:val="6A7723D7"/>
    <w:rsid w:val="6AC16985"/>
    <w:rsid w:val="6AE22A1E"/>
    <w:rsid w:val="6C246995"/>
    <w:rsid w:val="6E0A3A91"/>
    <w:rsid w:val="6E9706F7"/>
    <w:rsid w:val="6E9E5800"/>
    <w:rsid w:val="6EE17644"/>
    <w:rsid w:val="7060554B"/>
    <w:rsid w:val="712031A9"/>
    <w:rsid w:val="71E1168F"/>
    <w:rsid w:val="73FD4817"/>
    <w:rsid w:val="7517575B"/>
    <w:rsid w:val="75546D39"/>
    <w:rsid w:val="758A6DFC"/>
    <w:rsid w:val="77677888"/>
    <w:rsid w:val="79447A69"/>
    <w:rsid w:val="79A842BA"/>
    <w:rsid w:val="7B0E11D0"/>
    <w:rsid w:val="7C2A0D87"/>
    <w:rsid w:val="7D5321FF"/>
    <w:rsid w:val="7D970CE2"/>
    <w:rsid w:val="7D9D50E0"/>
    <w:rsid w:val="7F38E476"/>
    <w:rsid w:val="7F69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line number"/>
    <w:basedOn w:val="9"/>
    <w:semiHidden/>
    <w:unhideWhenUsed/>
    <w:qFormat/>
    <w:uiPriority w:val="99"/>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框文本 Char"/>
    <w:basedOn w:val="9"/>
    <w:link w:val="3"/>
    <w:semiHidden/>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标题 1 Char"/>
    <w:basedOn w:val="9"/>
    <w:link w:val="2"/>
    <w:qFormat/>
    <w:uiPriority w:val="9"/>
    <w:rPr>
      <w:b/>
      <w:bCs/>
      <w:kern w:val="44"/>
      <w:sz w:val="44"/>
      <w:szCs w:val="44"/>
    </w:rPr>
  </w:style>
  <w:style w:type="paragraph" w:customStyle="1" w:styleId="17">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2274</Words>
  <Characters>2585</Characters>
  <Lines>19</Lines>
  <Paragraphs>5</Paragraphs>
  <TotalTime>3</TotalTime>
  <ScaleCrop>false</ScaleCrop>
  <LinksUpToDate>false</LinksUpToDate>
  <CharactersWithSpaces>2638</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2018-06-23T09:37:00Z</dcterms:created>
  <dc:creator>xzs201512071437</dc:creator>
  <cp:lastModifiedBy>Zhuanz1</cp:lastModifiedBy>
  <dcterms:modified xsi:type="dcterms:W3CDTF">2025-11-13T09:19:39Z</dcterms:modified>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CE17F42F93F328292B3215696E0A66C0_43</vt:lpwstr>
  </property>
  <property fmtid="{D5CDD505-2E9C-101B-9397-08002B2CF9AE}" pid="4" name="KSOTemplateDocerSaveRecord">
    <vt:lpwstr>eyJoZGlkIjoiNTg0NjI4ODllMDI5NzZjNTk3ZGEzYWUwODMxMzY3MDQiLCJ1c2VySWQiOiIyNzQ1MzY2NjMifQ==</vt:lpwstr>
  </property>
</Properties>
</file>